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B49" w:rsidRPr="00EF6B49" w:rsidRDefault="00EF6B49" w:rsidP="00EF6B49">
      <w:pPr>
        <w:jc w:val="right"/>
        <w:rPr>
          <w:rFonts w:ascii="Times New Roman" w:hAnsi="Times New Roman"/>
          <w:b/>
          <w:color w:val="FF0000"/>
          <w:sz w:val="36"/>
          <w:szCs w:val="36"/>
          <w:u w:val="single"/>
        </w:rPr>
      </w:pPr>
      <w:r w:rsidRPr="00EF6B49">
        <w:rPr>
          <w:rFonts w:ascii="Times New Roman" w:hAnsi="Times New Roman"/>
          <w:b/>
          <w:color w:val="FF0000"/>
          <w:sz w:val="36"/>
          <w:szCs w:val="36"/>
          <w:u w:val="single"/>
        </w:rPr>
        <w:t>BOZZA</w:t>
      </w:r>
    </w:p>
    <w:p w:rsidR="00EF6B49" w:rsidRDefault="00EF6B49" w:rsidP="006E52E8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6E52E8" w:rsidRPr="00EF6B49" w:rsidRDefault="006E52E8" w:rsidP="006E52E8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EF6B49">
        <w:rPr>
          <w:rFonts w:ascii="Times New Roman" w:hAnsi="Times New Roman"/>
          <w:b/>
          <w:sz w:val="36"/>
          <w:szCs w:val="36"/>
          <w:u w:val="single"/>
        </w:rPr>
        <w:t xml:space="preserve">Nota su AQ </w:t>
      </w:r>
      <w:r w:rsidR="004147C9" w:rsidRPr="00EF6B49">
        <w:rPr>
          <w:rFonts w:ascii="Times New Roman" w:hAnsi="Times New Roman"/>
          <w:b/>
          <w:sz w:val="36"/>
          <w:szCs w:val="36"/>
          <w:u w:val="single"/>
        </w:rPr>
        <w:t>ANCI- CONAI</w:t>
      </w:r>
    </w:p>
    <w:p w:rsidR="006E52E8" w:rsidRDefault="00EF6B49" w:rsidP="00EF6B4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novembre 2018</w:t>
      </w:r>
    </w:p>
    <w:p w:rsidR="00EF6B49" w:rsidRDefault="00EF6B49" w:rsidP="00EF6B49">
      <w:pPr>
        <w:jc w:val="center"/>
        <w:rPr>
          <w:rFonts w:ascii="Times New Roman" w:hAnsi="Times New Roman"/>
          <w:sz w:val="28"/>
          <w:szCs w:val="28"/>
        </w:rPr>
      </w:pPr>
    </w:p>
    <w:p w:rsidR="001C2023" w:rsidRPr="00EF6B49" w:rsidRDefault="001C2023" w:rsidP="00EF6B49">
      <w:pPr>
        <w:jc w:val="center"/>
        <w:rPr>
          <w:rFonts w:ascii="Times New Roman" w:hAnsi="Times New Roman"/>
          <w:sz w:val="28"/>
          <w:szCs w:val="28"/>
        </w:rPr>
      </w:pPr>
    </w:p>
    <w:p w:rsidR="002C0BAB" w:rsidRPr="001C2023" w:rsidRDefault="002C0BAB" w:rsidP="001C2023">
      <w:pPr>
        <w:spacing w:after="100"/>
        <w:jc w:val="both"/>
        <w:rPr>
          <w:rFonts w:ascii="Times New Roman" w:hAnsi="Times New Roman"/>
          <w:b/>
          <w:sz w:val="24"/>
          <w:szCs w:val="24"/>
        </w:rPr>
      </w:pPr>
      <w:r w:rsidRPr="001C2023">
        <w:rPr>
          <w:rFonts w:ascii="Times New Roman" w:hAnsi="Times New Roman"/>
          <w:b/>
          <w:sz w:val="24"/>
          <w:szCs w:val="24"/>
        </w:rPr>
        <w:t>Premessa</w:t>
      </w:r>
    </w:p>
    <w:p w:rsidR="006E52E8" w:rsidRPr="001C2023" w:rsidRDefault="006E52E8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 xml:space="preserve">In vista della scadenza della vigenza quinquennale dell’AQ </w:t>
      </w:r>
      <w:r w:rsidR="004147C9" w:rsidRPr="001C2023">
        <w:rPr>
          <w:rFonts w:ascii="Times New Roman" w:hAnsi="Times New Roman"/>
          <w:sz w:val="24"/>
          <w:szCs w:val="24"/>
        </w:rPr>
        <w:t xml:space="preserve">ANCI- CONAI </w:t>
      </w:r>
      <w:r w:rsidRPr="001C2023">
        <w:rPr>
          <w:rFonts w:ascii="Times New Roman" w:hAnsi="Times New Roman"/>
          <w:sz w:val="24"/>
          <w:szCs w:val="24"/>
        </w:rPr>
        <w:t>il 30 marzo 2019, le parti firmatarie hanno avviato i lavori per la revisione dello stesso.</w:t>
      </w:r>
    </w:p>
    <w:p w:rsidR="006E52E8" w:rsidRPr="001C2023" w:rsidRDefault="006E52E8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>Al riguardo l’ANCI ha manifestato l’interesse di un primo incontro con gli operatori del settore privato per acquisire eventuali indicazioni in materia.</w:t>
      </w:r>
    </w:p>
    <w:p w:rsidR="006E52E8" w:rsidRPr="001C2023" w:rsidRDefault="006E52E8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 xml:space="preserve">Al momento non  è stato reso noto quali saranno le modalità dello svolgimento dei lavori che a quanto ad oggi emerso, non vede nella fase preparatori e iniziale, alcun coinvolgimento di rappresentanze di operatori né pubblici, né </w:t>
      </w:r>
      <w:r w:rsidR="007F291E" w:rsidRPr="001C2023">
        <w:rPr>
          <w:rFonts w:ascii="Times New Roman" w:hAnsi="Times New Roman"/>
          <w:sz w:val="24"/>
          <w:szCs w:val="24"/>
        </w:rPr>
        <w:t>privati oltre alla non dichiarata esistenza o meno di una piattaforma per le trattative</w:t>
      </w:r>
      <w:r w:rsidR="00EF6B49" w:rsidRPr="001C2023">
        <w:rPr>
          <w:rFonts w:ascii="Times New Roman" w:hAnsi="Times New Roman"/>
          <w:sz w:val="24"/>
          <w:szCs w:val="24"/>
        </w:rPr>
        <w:t xml:space="preserve"> </w:t>
      </w:r>
      <w:r w:rsidR="007F291E" w:rsidRPr="001C2023">
        <w:rPr>
          <w:rFonts w:ascii="Times New Roman" w:hAnsi="Times New Roman"/>
          <w:sz w:val="24"/>
          <w:szCs w:val="24"/>
        </w:rPr>
        <w:t>sia per l’Accodo generale sia per i relativi allegati tecnici riguardanti le filiere C</w:t>
      </w:r>
      <w:r w:rsidR="005437A6" w:rsidRPr="001C2023">
        <w:rPr>
          <w:rFonts w:ascii="Times New Roman" w:hAnsi="Times New Roman"/>
          <w:sz w:val="24"/>
          <w:szCs w:val="24"/>
        </w:rPr>
        <w:t>ONAI</w:t>
      </w:r>
      <w:r w:rsidR="002C0BAB" w:rsidRPr="001C2023">
        <w:rPr>
          <w:rFonts w:ascii="Times New Roman" w:hAnsi="Times New Roman"/>
          <w:sz w:val="24"/>
          <w:szCs w:val="24"/>
        </w:rPr>
        <w:t xml:space="preserve"> e vista la recente indagine </w:t>
      </w:r>
      <w:r w:rsidR="002C0BAB" w:rsidRPr="001C2023">
        <w:rPr>
          <w:rFonts w:ascii="Times New Roman" w:hAnsi="Times New Roman"/>
          <w:i/>
          <w:sz w:val="24"/>
          <w:szCs w:val="24"/>
        </w:rPr>
        <w:t>on line</w:t>
      </w:r>
      <w:r w:rsidR="002C0BAB" w:rsidRPr="001C2023">
        <w:rPr>
          <w:rFonts w:ascii="Times New Roman" w:hAnsi="Times New Roman"/>
          <w:sz w:val="24"/>
          <w:szCs w:val="24"/>
        </w:rPr>
        <w:t>, aperta anche ai cittadini, promossa sempre dall’A</w:t>
      </w:r>
      <w:r w:rsidR="005437A6" w:rsidRPr="001C2023">
        <w:rPr>
          <w:rFonts w:ascii="Times New Roman" w:hAnsi="Times New Roman"/>
          <w:sz w:val="24"/>
          <w:szCs w:val="24"/>
        </w:rPr>
        <w:t>NCI</w:t>
      </w:r>
      <w:r w:rsidR="007F291E" w:rsidRPr="001C2023">
        <w:rPr>
          <w:rFonts w:ascii="Times New Roman" w:hAnsi="Times New Roman"/>
          <w:sz w:val="24"/>
          <w:szCs w:val="24"/>
        </w:rPr>
        <w:t>.</w:t>
      </w:r>
    </w:p>
    <w:p w:rsidR="007F291E" w:rsidRPr="001C2023" w:rsidRDefault="007F291E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 xml:space="preserve">Stante il prossimo termine di scadenza </w:t>
      </w:r>
      <w:proofErr w:type="spellStart"/>
      <w:r w:rsidRPr="001C2023">
        <w:rPr>
          <w:rFonts w:ascii="Times New Roman" w:hAnsi="Times New Roman"/>
          <w:sz w:val="24"/>
          <w:szCs w:val="24"/>
        </w:rPr>
        <w:t>dell</w:t>
      </w:r>
      <w:proofErr w:type="spellEnd"/>
      <w:r w:rsidRPr="001C2023">
        <w:rPr>
          <w:rFonts w:ascii="Times New Roman" w:hAnsi="Times New Roman"/>
          <w:sz w:val="24"/>
          <w:szCs w:val="24"/>
        </w:rPr>
        <w:t xml:space="preserve"> AQ in parola l’Associazione ritiene, come anticipato con circolare  n</w:t>
      </w:r>
      <w:r w:rsidR="00E8035A" w:rsidRPr="001C2023">
        <w:rPr>
          <w:rFonts w:ascii="Times New Roman" w:hAnsi="Times New Roman"/>
          <w:sz w:val="24"/>
          <w:szCs w:val="24"/>
        </w:rPr>
        <w:t xml:space="preserve"> 223</w:t>
      </w:r>
      <w:r w:rsidRPr="001C2023">
        <w:rPr>
          <w:rFonts w:ascii="Times New Roman" w:hAnsi="Times New Roman"/>
          <w:sz w:val="24"/>
          <w:szCs w:val="24"/>
        </w:rPr>
        <w:t xml:space="preserve"> del </w:t>
      </w:r>
      <w:r w:rsidR="00E8035A" w:rsidRPr="001C2023">
        <w:rPr>
          <w:rFonts w:ascii="Times New Roman" w:hAnsi="Times New Roman"/>
          <w:sz w:val="24"/>
          <w:szCs w:val="24"/>
        </w:rPr>
        <w:t xml:space="preserve">5/11/29018, </w:t>
      </w:r>
      <w:r w:rsidRPr="001C2023">
        <w:rPr>
          <w:rFonts w:ascii="Times New Roman" w:hAnsi="Times New Roman"/>
          <w:sz w:val="24"/>
          <w:szCs w:val="24"/>
        </w:rPr>
        <w:t xml:space="preserve"> </w:t>
      </w:r>
      <w:r w:rsidR="00E8035A" w:rsidRPr="001C2023">
        <w:rPr>
          <w:rFonts w:ascii="Times New Roman" w:hAnsi="Times New Roman"/>
          <w:sz w:val="24"/>
          <w:szCs w:val="24"/>
        </w:rPr>
        <w:t xml:space="preserve">urgente </w:t>
      </w:r>
      <w:r w:rsidRPr="001C2023">
        <w:rPr>
          <w:rFonts w:ascii="Times New Roman" w:hAnsi="Times New Roman"/>
          <w:sz w:val="24"/>
          <w:szCs w:val="24"/>
        </w:rPr>
        <w:t xml:space="preserve">definire una proposta </w:t>
      </w:r>
      <w:r w:rsidR="002C0BAB" w:rsidRPr="001C2023">
        <w:rPr>
          <w:rFonts w:ascii="Times New Roman" w:hAnsi="Times New Roman"/>
          <w:sz w:val="24"/>
          <w:szCs w:val="24"/>
        </w:rPr>
        <w:t xml:space="preserve">associativa </w:t>
      </w:r>
      <w:r w:rsidRPr="001C2023">
        <w:rPr>
          <w:rFonts w:ascii="Times New Roman" w:hAnsi="Times New Roman"/>
          <w:sz w:val="24"/>
          <w:szCs w:val="24"/>
        </w:rPr>
        <w:t>sulle criticità riscontrate dagli operatori della raccolta differenziata e dei servizi connessi e di quelli a valle considerati dagli Allegati tecnici dell</w:t>
      </w:r>
      <w:r w:rsidR="002C0BAB" w:rsidRPr="001C2023">
        <w:rPr>
          <w:rFonts w:ascii="Times New Roman" w:hAnsi="Times New Roman"/>
          <w:sz w:val="24"/>
          <w:szCs w:val="24"/>
        </w:rPr>
        <w:t>’</w:t>
      </w:r>
      <w:r w:rsidRPr="001C2023">
        <w:rPr>
          <w:rFonts w:ascii="Times New Roman" w:hAnsi="Times New Roman"/>
          <w:sz w:val="24"/>
          <w:szCs w:val="24"/>
        </w:rPr>
        <w:t>AQ.</w:t>
      </w:r>
    </w:p>
    <w:p w:rsidR="005E017C" w:rsidRPr="001C2023" w:rsidRDefault="007F291E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 xml:space="preserve">Ad oggi non sono pervenuti </w:t>
      </w:r>
      <w:r w:rsidR="002C0BAB" w:rsidRPr="001C2023">
        <w:rPr>
          <w:rFonts w:ascii="Times New Roman" w:hAnsi="Times New Roman"/>
          <w:sz w:val="24"/>
          <w:szCs w:val="24"/>
        </w:rPr>
        <w:t xml:space="preserve">all’Associazione </w:t>
      </w:r>
      <w:r w:rsidRPr="001C2023">
        <w:rPr>
          <w:rFonts w:ascii="Times New Roman" w:hAnsi="Times New Roman"/>
          <w:sz w:val="24"/>
          <w:szCs w:val="24"/>
        </w:rPr>
        <w:t xml:space="preserve">suggerimenti e proposte necessarie per imprimere </w:t>
      </w:r>
      <w:r w:rsidR="005E017C" w:rsidRPr="001C2023">
        <w:rPr>
          <w:rFonts w:ascii="Times New Roman" w:hAnsi="Times New Roman"/>
          <w:sz w:val="24"/>
          <w:szCs w:val="24"/>
        </w:rPr>
        <w:t>a</w:t>
      </w:r>
      <w:r w:rsidRPr="001C2023">
        <w:rPr>
          <w:rFonts w:ascii="Times New Roman" w:hAnsi="Times New Roman"/>
          <w:sz w:val="24"/>
          <w:szCs w:val="24"/>
        </w:rPr>
        <w:t xml:space="preserve">i lavori di rinnovo un’attenzione e soluzione </w:t>
      </w:r>
      <w:r w:rsidR="005E017C" w:rsidRPr="001C2023">
        <w:rPr>
          <w:rFonts w:ascii="Times New Roman" w:hAnsi="Times New Roman"/>
          <w:sz w:val="24"/>
          <w:szCs w:val="24"/>
        </w:rPr>
        <w:t>a</w:t>
      </w:r>
      <w:r w:rsidRPr="001C2023">
        <w:rPr>
          <w:rFonts w:ascii="Times New Roman" w:hAnsi="Times New Roman"/>
          <w:sz w:val="24"/>
          <w:szCs w:val="24"/>
        </w:rPr>
        <w:t>lle problematiche riscontrate</w:t>
      </w:r>
      <w:r w:rsidR="002C0BAB" w:rsidRPr="001C2023">
        <w:rPr>
          <w:rFonts w:ascii="Times New Roman" w:hAnsi="Times New Roman"/>
          <w:sz w:val="24"/>
          <w:szCs w:val="24"/>
        </w:rPr>
        <w:t xml:space="preserve"> in sede operativa</w:t>
      </w:r>
      <w:r w:rsidRPr="001C2023">
        <w:rPr>
          <w:rFonts w:ascii="Times New Roman" w:hAnsi="Times New Roman"/>
          <w:sz w:val="24"/>
          <w:szCs w:val="24"/>
        </w:rPr>
        <w:t xml:space="preserve"> non solo </w:t>
      </w:r>
      <w:r w:rsidR="005E017C" w:rsidRPr="001C2023">
        <w:rPr>
          <w:rFonts w:ascii="Times New Roman" w:hAnsi="Times New Roman"/>
          <w:sz w:val="24"/>
          <w:szCs w:val="24"/>
        </w:rPr>
        <w:t>su</w:t>
      </w:r>
      <w:r w:rsidR="002C0BAB" w:rsidRPr="001C2023">
        <w:rPr>
          <w:rFonts w:ascii="Times New Roman" w:hAnsi="Times New Roman"/>
          <w:sz w:val="24"/>
          <w:szCs w:val="24"/>
        </w:rPr>
        <w:t>l</w:t>
      </w:r>
      <w:r w:rsidR="005E017C" w:rsidRPr="001C2023">
        <w:rPr>
          <w:rFonts w:ascii="Times New Roman" w:hAnsi="Times New Roman"/>
          <w:sz w:val="24"/>
          <w:szCs w:val="24"/>
        </w:rPr>
        <w:t>l</w:t>
      </w:r>
      <w:r w:rsidRPr="001C2023">
        <w:rPr>
          <w:rFonts w:ascii="Times New Roman" w:hAnsi="Times New Roman"/>
          <w:sz w:val="24"/>
          <w:szCs w:val="24"/>
        </w:rPr>
        <w:t xml:space="preserve">e condizioni </w:t>
      </w:r>
      <w:r w:rsidR="005E017C" w:rsidRPr="001C2023">
        <w:rPr>
          <w:rFonts w:ascii="Times New Roman" w:hAnsi="Times New Roman"/>
          <w:sz w:val="24"/>
          <w:szCs w:val="24"/>
        </w:rPr>
        <w:t>di rapporto con le amministrazioni locali e con il C</w:t>
      </w:r>
      <w:r w:rsidR="005437A6" w:rsidRPr="001C2023">
        <w:rPr>
          <w:rFonts w:ascii="Times New Roman" w:hAnsi="Times New Roman"/>
          <w:sz w:val="24"/>
          <w:szCs w:val="24"/>
        </w:rPr>
        <w:t>ONAI</w:t>
      </w:r>
      <w:r w:rsidR="005E017C" w:rsidRPr="001C2023">
        <w:rPr>
          <w:rFonts w:ascii="Times New Roman" w:hAnsi="Times New Roman"/>
          <w:sz w:val="24"/>
          <w:szCs w:val="24"/>
        </w:rPr>
        <w:t xml:space="preserve">, ma </w:t>
      </w:r>
      <w:r w:rsidRPr="001C2023">
        <w:rPr>
          <w:rFonts w:ascii="Times New Roman" w:hAnsi="Times New Roman"/>
          <w:sz w:val="24"/>
          <w:szCs w:val="24"/>
        </w:rPr>
        <w:t xml:space="preserve">anche per </w:t>
      </w:r>
      <w:r w:rsidR="002C0BAB" w:rsidRPr="001C2023">
        <w:rPr>
          <w:rFonts w:ascii="Times New Roman" w:hAnsi="Times New Roman"/>
          <w:sz w:val="24"/>
          <w:szCs w:val="24"/>
        </w:rPr>
        <w:t>quelle connesse al</w:t>
      </w:r>
      <w:r w:rsidRPr="001C2023">
        <w:rPr>
          <w:rFonts w:ascii="Times New Roman" w:hAnsi="Times New Roman"/>
          <w:sz w:val="24"/>
          <w:szCs w:val="24"/>
        </w:rPr>
        <w:t>l’evoluzione del contesto normativo e di mercato del settore</w:t>
      </w:r>
      <w:r w:rsidR="005E017C" w:rsidRPr="001C2023">
        <w:rPr>
          <w:rFonts w:ascii="Times New Roman" w:hAnsi="Times New Roman"/>
          <w:sz w:val="24"/>
          <w:szCs w:val="24"/>
        </w:rPr>
        <w:t>.</w:t>
      </w:r>
    </w:p>
    <w:p w:rsidR="003C39BC" w:rsidRPr="001C2023" w:rsidRDefault="005E017C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>Si auspica quindi un</w:t>
      </w:r>
      <w:r w:rsidR="002C0BAB" w:rsidRPr="001C2023">
        <w:rPr>
          <w:rFonts w:ascii="Times New Roman" w:hAnsi="Times New Roman"/>
          <w:sz w:val="24"/>
          <w:szCs w:val="24"/>
        </w:rPr>
        <w:t>’</w:t>
      </w:r>
      <w:r w:rsidRPr="001C2023">
        <w:rPr>
          <w:rFonts w:ascii="Times New Roman" w:hAnsi="Times New Roman"/>
          <w:sz w:val="24"/>
          <w:szCs w:val="24"/>
        </w:rPr>
        <w:t xml:space="preserve">attenzione e collaborazione </w:t>
      </w:r>
      <w:r w:rsidR="002C0BAB" w:rsidRPr="001C2023">
        <w:rPr>
          <w:rFonts w:ascii="Times New Roman" w:hAnsi="Times New Roman"/>
          <w:sz w:val="24"/>
          <w:szCs w:val="24"/>
        </w:rPr>
        <w:t xml:space="preserve">degli associati </w:t>
      </w:r>
      <w:r w:rsidRPr="001C2023">
        <w:rPr>
          <w:rFonts w:ascii="Times New Roman" w:hAnsi="Times New Roman"/>
          <w:sz w:val="24"/>
          <w:szCs w:val="24"/>
        </w:rPr>
        <w:t>per contributi che  possano  assicurare il superamento d</w:t>
      </w:r>
      <w:r w:rsidR="002C0BAB" w:rsidRPr="001C2023">
        <w:rPr>
          <w:rFonts w:ascii="Times New Roman" w:hAnsi="Times New Roman"/>
          <w:sz w:val="24"/>
          <w:szCs w:val="24"/>
        </w:rPr>
        <w:t>elle</w:t>
      </w:r>
      <w:r w:rsidRPr="001C2023">
        <w:rPr>
          <w:rFonts w:ascii="Times New Roman" w:hAnsi="Times New Roman"/>
          <w:sz w:val="24"/>
          <w:szCs w:val="24"/>
        </w:rPr>
        <w:t xml:space="preserve"> difficoltà </w:t>
      </w:r>
      <w:r w:rsidR="002C0BAB" w:rsidRPr="001C2023">
        <w:rPr>
          <w:rFonts w:ascii="Times New Roman" w:hAnsi="Times New Roman"/>
          <w:sz w:val="24"/>
          <w:szCs w:val="24"/>
        </w:rPr>
        <w:t xml:space="preserve">soprattutto quelle connesse a  </w:t>
      </w:r>
      <w:r w:rsidRPr="001C2023">
        <w:rPr>
          <w:rFonts w:ascii="Times New Roman" w:hAnsi="Times New Roman"/>
          <w:sz w:val="24"/>
          <w:szCs w:val="24"/>
        </w:rPr>
        <w:t>penalizzazioni finanziarie</w:t>
      </w:r>
      <w:r w:rsidR="002C0BAB" w:rsidRPr="001C2023">
        <w:rPr>
          <w:rFonts w:ascii="Times New Roman" w:hAnsi="Times New Roman"/>
          <w:sz w:val="24"/>
          <w:szCs w:val="24"/>
        </w:rPr>
        <w:t>.</w:t>
      </w:r>
    </w:p>
    <w:p w:rsidR="002C0BAB" w:rsidRPr="001C2023" w:rsidRDefault="002C0BAB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3C39BC" w:rsidRPr="001C2023" w:rsidRDefault="003C39BC" w:rsidP="001C2023">
      <w:pPr>
        <w:spacing w:after="100"/>
        <w:jc w:val="both"/>
        <w:rPr>
          <w:rFonts w:ascii="Times New Roman" w:hAnsi="Times New Roman"/>
          <w:b/>
          <w:sz w:val="24"/>
          <w:szCs w:val="24"/>
        </w:rPr>
      </w:pPr>
      <w:r w:rsidRPr="001C2023">
        <w:rPr>
          <w:rFonts w:ascii="Times New Roman" w:hAnsi="Times New Roman"/>
          <w:b/>
          <w:sz w:val="24"/>
          <w:szCs w:val="24"/>
        </w:rPr>
        <w:t>Aspetti generali</w:t>
      </w:r>
    </w:p>
    <w:p w:rsidR="003C39BC" w:rsidRPr="001C2023" w:rsidRDefault="003C39BC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 xml:space="preserve">Il futuro AQ dovrà tener conto del rinnovato </w:t>
      </w:r>
      <w:r w:rsidR="002C0BAB" w:rsidRPr="001C2023">
        <w:rPr>
          <w:rFonts w:ascii="Times New Roman" w:hAnsi="Times New Roman"/>
          <w:sz w:val="24"/>
          <w:szCs w:val="24"/>
        </w:rPr>
        <w:t>quadro normativo</w:t>
      </w:r>
      <w:r w:rsidRPr="001C2023">
        <w:rPr>
          <w:rFonts w:ascii="Times New Roman" w:hAnsi="Times New Roman"/>
          <w:sz w:val="24"/>
          <w:szCs w:val="24"/>
        </w:rPr>
        <w:t xml:space="preserve"> comunitario in materia di gestione dei rifiuti </w:t>
      </w:r>
      <w:r w:rsidR="002C0BAB" w:rsidRPr="001C2023">
        <w:rPr>
          <w:rFonts w:ascii="Times New Roman" w:hAnsi="Times New Roman"/>
          <w:sz w:val="24"/>
          <w:szCs w:val="24"/>
        </w:rPr>
        <w:t xml:space="preserve">per l’attuazione della </w:t>
      </w:r>
      <w:proofErr w:type="spellStart"/>
      <w:r w:rsidR="002C0BAB" w:rsidRPr="001C2023">
        <w:rPr>
          <w:rFonts w:ascii="Times New Roman" w:hAnsi="Times New Roman"/>
          <w:i/>
          <w:sz w:val="24"/>
          <w:szCs w:val="24"/>
        </w:rPr>
        <w:t>circular</w:t>
      </w:r>
      <w:proofErr w:type="spellEnd"/>
      <w:r w:rsidR="002C0BAB" w:rsidRPr="001C2023">
        <w:rPr>
          <w:rFonts w:ascii="Times New Roman" w:hAnsi="Times New Roman"/>
          <w:i/>
          <w:sz w:val="24"/>
          <w:szCs w:val="24"/>
        </w:rPr>
        <w:t xml:space="preserve"> economy</w:t>
      </w:r>
      <w:r w:rsidR="002C0BAB" w:rsidRPr="001C2023">
        <w:rPr>
          <w:rFonts w:ascii="Times New Roman" w:hAnsi="Times New Roman"/>
          <w:sz w:val="24"/>
          <w:szCs w:val="24"/>
        </w:rPr>
        <w:t xml:space="preserve">  </w:t>
      </w:r>
      <w:r w:rsidRPr="001C2023">
        <w:rPr>
          <w:rFonts w:ascii="Times New Roman" w:hAnsi="Times New Roman"/>
          <w:sz w:val="24"/>
          <w:szCs w:val="24"/>
        </w:rPr>
        <w:t>e quindi tene</w:t>
      </w:r>
      <w:r w:rsidR="002C0BAB" w:rsidRPr="001C2023">
        <w:rPr>
          <w:rFonts w:ascii="Times New Roman" w:hAnsi="Times New Roman"/>
          <w:sz w:val="24"/>
          <w:szCs w:val="24"/>
        </w:rPr>
        <w:t>r</w:t>
      </w:r>
      <w:r w:rsidRPr="001C2023">
        <w:rPr>
          <w:rFonts w:ascii="Times New Roman" w:hAnsi="Times New Roman"/>
          <w:sz w:val="24"/>
          <w:szCs w:val="24"/>
        </w:rPr>
        <w:t xml:space="preserve"> conto del dettato della direttiva comunitaria </w:t>
      </w:r>
      <w:r w:rsidR="002C0BAB" w:rsidRPr="001C2023">
        <w:rPr>
          <w:rFonts w:ascii="Times New Roman" w:hAnsi="Times New Roman"/>
          <w:sz w:val="24"/>
          <w:szCs w:val="24"/>
        </w:rPr>
        <w:t xml:space="preserve">2018/851/Ue </w:t>
      </w:r>
      <w:r w:rsidR="003D7688" w:rsidRPr="001C2023">
        <w:rPr>
          <w:rFonts w:ascii="Times New Roman" w:hAnsi="Times New Roman"/>
          <w:sz w:val="24"/>
          <w:szCs w:val="24"/>
        </w:rPr>
        <w:t>in particolare dell’art 8 su “</w:t>
      </w:r>
      <w:r w:rsidR="003D7688" w:rsidRPr="001C2023">
        <w:rPr>
          <w:rFonts w:ascii="Times New Roman" w:hAnsi="Times New Roman"/>
          <w:i/>
          <w:sz w:val="24"/>
          <w:szCs w:val="24"/>
        </w:rPr>
        <w:t>Responsabilità estesa del produttore</w:t>
      </w:r>
      <w:r w:rsidR="003D7688" w:rsidRPr="001C2023">
        <w:rPr>
          <w:rFonts w:ascii="Times New Roman" w:hAnsi="Times New Roman"/>
          <w:sz w:val="24"/>
          <w:szCs w:val="24"/>
        </w:rPr>
        <w:t xml:space="preserve">” che prevede  qualora sia prevista l’istituzione di regimi di responsabilità estesa del produttore del bene, l’applicazione  </w:t>
      </w:r>
      <w:r w:rsidR="003234BC" w:rsidRPr="001C2023">
        <w:rPr>
          <w:rFonts w:ascii="Times New Roman" w:hAnsi="Times New Roman"/>
          <w:sz w:val="24"/>
          <w:szCs w:val="24"/>
        </w:rPr>
        <w:t xml:space="preserve">dei requisiti </w:t>
      </w:r>
      <w:r w:rsidR="002C0BAB" w:rsidRPr="001C2023">
        <w:rPr>
          <w:rFonts w:ascii="Times New Roman" w:hAnsi="Times New Roman"/>
          <w:sz w:val="24"/>
          <w:szCs w:val="24"/>
        </w:rPr>
        <w:t xml:space="preserve">riportati al successivo </w:t>
      </w:r>
      <w:r w:rsidR="003234BC" w:rsidRPr="001C2023">
        <w:rPr>
          <w:rFonts w:ascii="Times New Roman" w:hAnsi="Times New Roman"/>
          <w:sz w:val="24"/>
          <w:szCs w:val="24"/>
        </w:rPr>
        <w:t>art 8-bis</w:t>
      </w:r>
      <w:r w:rsidR="001C2023">
        <w:rPr>
          <w:rFonts w:ascii="Times New Roman" w:hAnsi="Times New Roman"/>
          <w:sz w:val="24"/>
          <w:szCs w:val="24"/>
        </w:rPr>
        <w:t xml:space="preserve"> (in allegato)</w:t>
      </w:r>
      <w:r w:rsidR="00977D3F" w:rsidRPr="001C2023">
        <w:rPr>
          <w:rFonts w:ascii="Times New Roman" w:hAnsi="Times New Roman"/>
          <w:sz w:val="24"/>
          <w:szCs w:val="24"/>
        </w:rPr>
        <w:t>.</w:t>
      </w:r>
    </w:p>
    <w:p w:rsidR="00601483" w:rsidRPr="001C2023" w:rsidRDefault="00601483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977D3F" w:rsidRPr="001C2023" w:rsidRDefault="00977D3F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>Pertanto, pur non essendo ancora recepita la direttiva i cui lavori son</w:t>
      </w:r>
      <w:r w:rsidR="00B96377" w:rsidRPr="001C2023">
        <w:rPr>
          <w:rFonts w:ascii="Times New Roman" w:hAnsi="Times New Roman"/>
          <w:sz w:val="24"/>
          <w:szCs w:val="24"/>
        </w:rPr>
        <w:t>o in corso in sede parlamentare</w:t>
      </w:r>
      <w:r w:rsidRPr="001C2023">
        <w:rPr>
          <w:rFonts w:ascii="Times New Roman" w:hAnsi="Times New Roman"/>
          <w:sz w:val="24"/>
          <w:szCs w:val="24"/>
        </w:rPr>
        <w:t xml:space="preserve"> e  tenendo conto di eventuali possibili periodi transitori per l’adeguamento dei regimi di </w:t>
      </w:r>
      <w:r w:rsidRPr="001C2023">
        <w:rPr>
          <w:rFonts w:ascii="Times New Roman" w:hAnsi="Times New Roman"/>
          <w:b/>
          <w:sz w:val="24"/>
          <w:szCs w:val="24"/>
        </w:rPr>
        <w:t>responsabilità estesa</w:t>
      </w:r>
      <w:r w:rsidRPr="001C2023">
        <w:rPr>
          <w:rFonts w:ascii="Times New Roman" w:hAnsi="Times New Roman"/>
          <w:sz w:val="24"/>
          <w:szCs w:val="24"/>
        </w:rPr>
        <w:t xml:space="preserve"> vigenti al 4 luglio u.s., la </w:t>
      </w:r>
      <w:r w:rsidR="000477C4" w:rsidRPr="001C2023">
        <w:rPr>
          <w:rFonts w:ascii="Times New Roman" w:hAnsi="Times New Roman"/>
          <w:sz w:val="24"/>
          <w:szCs w:val="24"/>
        </w:rPr>
        <w:t xml:space="preserve">previsione comunitaria  </w:t>
      </w:r>
      <w:r w:rsidR="00B96377" w:rsidRPr="001C2023">
        <w:rPr>
          <w:rFonts w:ascii="Times New Roman" w:hAnsi="Times New Roman"/>
          <w:sz w:val="24"/>
          <w:szCs w:val="24"/>
        </w:rPr>
        <w:t>stante il prossimo recepimento dovrà</w:t>
      </w:r>
      <w:r w:rsidR="000477C4" w:rsidRPr="001C2023">
        <w:rPr>
          <w:rFonts w:ascii="Times New Roman" w:hAnsi="Times New Roman"/>
          <w:sz w:val="24"/>
          <w:szCs w:val="24"/>
        </w:rPr>
        <w:t xml:space="preserve"> essere considerata </w:t>
      </w:r>
      <w:r w:rsidR="00B96377" w:rsidRPr="001C2023">
        <w:rPr>
          <w:rFonts w:ascii="Times New Roman" w:hAnsi="Times New Roman"/>
          <w:sz w:val="24"/>
          <w:szCs w:val="24"/>
        </w:rPr>
        <w:t>nell</w:t>
      </w:r>
      <w:r w:rsidR="000477C4" w:rsidRPr="001C2023">
        <w:rPr>
          <w:rFonts w:ascii="Times New Roman" w:hAnsi="Times New Roman"/>
          <w:sz w:val="24"/>
          <w:szCs w:val="24"/>
        </w:rPr>
        <w:t xml:space="preserve">a rivisitazione dei corrispettivi dell’AQ in essere basati sul </w:t>
      </w:r>
      <w:r w:rsidR="000477C4" w:rsidRPr="001C2023">
        <w:rPr>
          <w:rFonts w:ascii="Times New Roman" w:hAnsi="Times New Roman"/>
          <w:b/>
          <w:sz w:val="24"/>
          <w:szCs w:val="24"/>
        </w:rPr>
        <w:t>delta costo dei servizi</w:t>
      </w:r>
      <w:r w:rsidR="000477C4" w:rsidRPr="001C2023">
        <w:rPr>
          <w:rFonts w:ascii="Times New Roman" w:hAnsi="Times New Roman"/>
          <w:sz w:val="24"/>
          <w:szCs w:val="24"/>
        </w:rPr>
        <w:t xml:space="preserve"> rispetto alla raccolta del tal quale, aspetto di non semplice definizione come emerso in passato</w:t>
      </w:r>
      <w:r w:rsidR="00A8405B" w:rsidRPr="001C2023">
        <w:rPr>
          <w:rFonts w:ascii="Times New Roman" w:hAnsi="Times New Roman"/>
          <w:sz w:val="24"/>
          <w:szCs w:val="24"/>
        </w:rPr>
        <w:t>,</w:t>
      </w:r>
      <w:r w:rsidR="000477C4" w:rsidRPr="001C2023">
        <w:rPr>
          <w:rFonts w:ascii="Times New Roman" w:hAnsi="Times New Roman"/>
          <w:sz w:val="24"/>
          <w:szCs w:val="24"/>
        </w:rPr>
        <w:t xml:space="preserve"> non potendo </w:t>
      </w:r>
      <w:r w:rsidR="00A8405B" w:rsidRPr="001C2023">
        <w:rPr>
          <w:rFonts w:ascii="Times New Roman" w:hAnsi="Times New Roman"/>
          <w:sz w:val="24"/>
          <w:szCs w:val="24"/>
        </w:rPr>
        <w:t xml:space="preserve">un efficiente esemplificativa </w:t>
      </w:r>
      <w:r w:rsidR="000477C4" w:rsidRPr="001C2023">
        <w:rPr>
          <w:rFonts w:ascii="Times New Roman" w:hAnsi="Times New Roman"/>
          <w:sz w:val="24"/>
          <w:szCs w:val="24"/>
        </w:rPr>
        <w:t xml:space="preserve">realtà nazionale essere normalizzata se non sulla base delle </w:t>
      </w:r>
      <w:r w:rsidR="00F65870" w:rsidRPr="001C2023">
        <w:rPr>
          <w:rFonts w:ascii="Times New Roman" w:hAnsi="Times New Roman"/>
          <w:sz w:val="24"/>
          <w:szCs w:val="24"/>
        </w:rPr>
        <w:t>molteplici</w:t>
      </w:r>
      <w:r w:rsidR="000477C4" w:rsidRPr="001C2023">
        <w:rPr>
          <w:rFonts w:ascii="Times New Roman" w:hAnsi="Times New Roman"/>
          <w:sz w:val="24"/>
          <w:szCs w:val="24"/>
        </w:rPr>
        <w:t xml:space="preserve"> variabili connesse alla </w:t>
      </w:r>
      <w:r w:rsidR="00B96377" w:rsidRPr="001C2023">
        <w:rPr>
          <w:rFonts w:ascii="Times New Roman" w:hAnsi="Times New Roman"/>
          <w:sz w:val="24"/>
          <w:szCs w:val="24"/>
        </w:rPr>
        <w:t>specificità</w:t>
      </w:r>
      <w:r w:rsidR="000477C4" w:rsidRPr="001C2023">
        <w:rPr>
          <w:rFonts w:ascii="Times New Roman" w:hAnsi="Times New Roman"/>
          <w:sz w:val="24"/>
          <w:szCs w:val="24"/>
        </w:rPr>
        <w:t xml:space="preserve"> dei servizi </w:t>
      </w:r>
      <w:r w:rsidR="00A8405B" w:rsidRPr="001C2023">
        <w:rPr>
          <w:rFonts w:ascii="Times New Roman" w:hAnsi="Times New Roman"/>
          <w:sz w:val="24"/>
          <w:szCs w:val="24"/>
        </w:rPr>
        <w:t xml:space="preserve">localmente </w:t>
      </w:r>
      <w:r w:rsidR="000477C4" w:rsidRPr="001C2023">
        <w:rPr>
          <w:rFonts w:ascii="Times New Roman" w:hAnsi="Times New Roman"/>
          <w:sz w:val="24"/>
          <w:szCs w:val="24"/>
        </w:rPr>
        <w:t xml:space="preserve">richiesti e alle </w:t>
      </w:r>
      <w:r w:rsidR="00A8405B" w:rsidRPr="001C2023">
        <w:rPr>
          <w:rFonts w:ascii="Times New Roman" w:hAnsi="Times New Roman"/>
          <w:sz w:val="24"/>
          <w:szCs w:val="24"/>
        </w:rPr>
        <w:t xml:space="preserve">specifiche </w:t>
      </w:r>
      <w:r w:rsidR="000477C4" w:rsidRPr="001C2023">
        <w:rPr>
          <w:rFonts w:ascii="Times New Roman" w:hAnsi="Times New Roman"/>
          <w:sz w:val="24"/>
          <w:szCs w:val="24"/>
        </w:rPr>
        <w:t>realtà urbanistiche.</w:t>
      </w:r>
    </w:p>
    <w:p w:rsidR="00601483" w:rsidRPr="001C2023" w:rsidRDefault="00601483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317A97" w:rsidRPr="001C2023" w:rsidRDefault="003339E2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lastRenderedPageBreak/>
        <w:t>Corre</w:t>
      </w:r>
      <w:r w:rsidR="00317A97" w:rsidRPr="001C2023">
        <w:rPr>
          <w:rFonts w:ascii="Times New Roman" w:hAnsi="Times New Roman"/>
          <w:sz w:val="24"/>
          <w:szCs w:val="24"/>
        </w:rPr>
        <w:t xml:space="preserve">lato a quest’ultimo è anche la necessità di una rivisitazione delle condizioni e dei </w:t>
      </w:r>
      <w:r w:rsidR="00317A97" w:rsidRPr="001C2023">
        <w:rPr>
          <w:rFonts w:ascii="Times New Roman" w:hAnsi="Times New Roman"/>
          <w:b/>
          <w:sz w:val="24"/>
          <w:szCs w:val="24"/>
        </w:rPr>
        <w:t>corrispettivi per  i servizi accessori</w:t>
      </w:r>
      <w:r w:rsidR="00317A97" w:rsidRPr="001C2023">
        <w:rPr>
          <w:rFonts w:ascii="Times New Roman" w:hAnsi="Times New Roman"/>
          <w:sz w:val="24"/>
          <w:szCs w:val="24"/>
        </w:rPr>
        <w:t xml:space="preserve"> penalizzati soprattutto qualora i conferimenti delle RD non siano prossime alle aree di raccolta o qualora stoccati, non vengano ritirati nei tempi previsti.</w:t>
      </w:r>
      <w:r w:rsidR="00EF6B49" w:rsidRPr="001C2023">
        <w:rPr>
          <w:rFonts w:ascii="Times New Roman" w:hAnsi="Times New Roman"/>
          <w:sz w:val="24"/>
          <w:szCs w:val="24"/>
        </w:rPr>
        <w:t xml:space="preserve"> Oneri connessi a disservizi correlati alla variabilità</w:t>
      </w:r>
      <w:r w:rsidR="00F7663A" w:rsidRPr="001C2023">
        <w:rPr>
          <w:rFonts w:ascii="Times New Roman" w:hAnsi="Times New Roman"/>
          <w:sz w:val="24"/>
          <w:szCs w:val="24"/>
        </w:rPr>
        <w:t xml:space="preserve"> </w:t>
      </w:r>
      <w:r w:rsidR="00EF6B49" w:rsidRPr="001C2023">
        <w:rPr>
          <w:rFonts w:ascii="Times New Roman" w:hAnsi="Times New Roman"/>
          <w:sz w:val="24"/>
          <w:szCs w:val="24"/>
        </w:rPr>
        <w:t xml:space="preserve"> delle condizioni di mercato dei materiali riciclati non dovranno essere fatti ricadere sugli</w:t>
      </w:r>
      <w:r w:rsidR="00A8405B" w:rsidRPr="001C2023">
        <w:rPr>
          <w:rFonts w:ascii="Times New Roman" w:hAnsi="Times New Roman"/>
          <w:sz w:val="24"/>
          <w:szCs w:val="24"/>
        </w:rPr>
        <w:t xml:space="preserve"> Enti Locali e sugli</w:t>
      </w:r>
      <w:r w:rsidR="00EF6B49" w:rsidRPr="001C2023">
        <w:rPr>
          <w:rFonts w:ascii="Times New Roman" w:hAnsi="Times New Roman"/>
          <w:sz w:val="24"/>
          <w:szCs w:val="24"/>
        </w:rPr>
        <w:t xml:space="preserve"> operatori della RD oggi spesso </w:t>
      </w:r>
      <w:r w:rsidR="00A8405B" w:rsidRPr="001C2023">
        <w:rPr>
          <w:rFonts w:ascii="Times New Roman" w:hAnsi="Times New Roman"/>
          <w:sz w:val="24"/>
          <w:szCs w:val="24"/>
        </w:rPr>
        <w:t>“</w:t>
      </w:r>
      <w:r w:rsidR="00EF6B49" w:rsidRPr="001C2023">
        <w:rPr>
          <w:rFonts w:ascii="Times New Roman" w:hAnsi="Times New Roman"/>
          <w:sz w:val="24"/>
          <w:szCs w:val="24"/>
        </w:rPr>
        <w:t>camera di compensazione</w:t>
      </w:r>
      <w:r w:rsidR="00A8405B" w:rsidRPr="001C2023">
        <w:rPr>
          <w:rFonts w:ascii="Times New Roman" w:hAnsi="Times New Roman"/>
          <w:sz w:val="24"/>
          <w:szCs w:val="24"/>
        </w:rPr>
        <w:t>”</w:t>
      </w:r>
      <w:r w:rsidR="00EF6B49" w:rsidRPr="001C2023">
        <w:rPr>
          <w:rFonts w:ascii="Times New Roman" w:hAnsi="Times New Roman"/>
          <w:sz w:val="24"/>
          <w:szCs w:val="24"/>
        </w:rPr>
        <w:t xml:space="preserve"> dei Consorzi </w:t>
      </w:r>
      <w:r w:rsidR="00A8405B" w:rsidRPr="001C2023">
        <w:rPr>
          <w:rFonts w:ascii="Times New Roman" w:hAnsi="Times New Roman"/>
          <w:sz w:val="24"/>
          <w:szCs w:val="24"/>
        </w:rPr>
        <w:t xml:space="preserve">del sistema </w:t>
      </w:r>
      <w:r w:rsidR="00EF6B49" w:rsidRPr="001C2023">
        <w:rPr>
          <w:rFonts w:ascii="Times New Roman" w:hAnsi="Times New Roman"/>
          <w:sz w:val="24"/>
          <w:szCs w:val="24"/>
        </w:rPr>
        <w:t>C</w:t>
      </w:r>
      <w:r w:rsidR="00A8405B" w:rsidRPr="001C2023">
        <w:rPr>
          <w:rFonts w:ascii="Times New Roman" w:hAnsi="Times New Roman"/>
          <w:sz w:val="24"/>
          <w:szCs w:val="24"/>
        </w:rPr>
        <w:t>ONAI</w:t>
      </w:r>
      <w:r w:rsidR="00EF6B49" w:rsidRPr="001C2023">
        <w:rPr>
          <w:rFonts w:ascii="Times New Roman" w:hAnsi="Times New Roman"/>
          <w:sz w:val="24"/>
          <w:szCs w:val="24"/>
        </w:rPr>
        <w:t xml:space="preserve">.  </w:t>
      </w:r>
      <w:r w:rsidR="00F7663A" w:rsidRPr="001C2023">
        <w:rPr>
          <w:rFonts w:ascii="Times New Roman" w:hAnsi="Times New Roman"/>
          <w:sz w:val="24"/>
          <w:szCs w:val="24"/>
        </w:rPr>
        <w:t xml:space="preserve">Pertanto </w:t>
      </w:r>
      <w:r w:rsidR="00A8405B" w:rsidRPr="001C2023">
        <w:rPr>
          <w:rFonts w:ascii="Times New Roman" w:hAnsi="Times New Roman"/>
          <w:sz w:val="24"/>
          <w:szCs w:val="24"/>
        </w:rPr>
        <w:t xml:space="preserve">su </w:t>
      </w:r>
      <w:r w:rsidR="00F7663A" w:rsidRPr="001C2023">
        <w:rPr>
          <w:rFonts w:ascii="Times New Roman" w:hAnsi="Times New Roman"/>
          <w:sz w:val="24"/>
          <w:szCs w:val="24"/>
        </w:rPr>
        <w:t>questi aspetti  dovranno essere rivalutate le penalizzazioni stante le ricadute operative per i gestori dei servizi.</w:t>
      </w:r>
      <w:r w:rsidR="0042177D" w:rsidRPr="001C2023">
        <w:rPr>
          <w:rFonts w:ascii="Times New Roman" w:hAnsi="Times New Roman"/>
          <w:sz w:val="24"/>
          <w:szCs w:val="24"/>
        </w:rPr>
        <w:t xml:space="preserve"> </w:t>
      </w:r>
    </w:p>
    <w:p w:rsidR="0042177D" w:rsidRPr="001C2023" w:rsidRDefault="0042177D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0477C4" w:rsidRPr="001C2023" w:rsidRDefault="000477C4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 xml:space="preserve">Altro aspetto cardine riguarda la </w:t>
      </w:r>
      <w:r w:rsidRPr="001C2023">
        <w:rPr>
          <w:rFonts w:ascii="Times New Roman" w:hAnsi="Times New Roman"/>
          <w:b/>
          <w:sz w:val="24"/>
          <w:szCs w:val="24"/>
        </w:rPr>
        <w:t>qualità delle RD</w:t>
      </w:r>
      <w:r w:rsidRPr="001C2023">
        <w:rPr>
          <w:rFonts w:ascii="Times New Roman" w:hAnsi="Times New Roman"/>
          <w:sz w:val="24"/>
          <w:szCs w:val="24"/>
        </w:rPr>
        <w:t xml:space="preserve"> sul quale sono applicate penalizzazioni economiche e in casi limite il respingimento del carico. Questa variabile ha varie connessioni non solo con la tipologia e standard dei servizi, ma anche con la sensibilità dell’utente/cittadino. </w:t>
      </w:r>
      <w:r w:rsidR="0042177D" w:rsidRPr="001C2023">
        <w:rPr>
          <w:rFonts w:ascii="Times New Roman" w:hAnsi="Times New Roman"/>
          <w:sz w:val="24"/>
          <w:szCs w:val="24"/>
        </w:rPr>
        <w:t>Pertanto ulteriore impegno finanziario da parte del C</w:t>
      </w:r>
      <w:r w:rsidR="00A8405B" w:rsidRPr="001C2023">
        <w:rPr>
          <w:rFonts w:ascii="Times New Roman" w:hAnsi="Times New Roman"/>
          <w:sz w:val="24"/>
          <w:szCs w:val="24"/>
        </w:rPr>
        <w:t>ONAI</w:t>
      </w:r>
      <w:r w:rsidR="0042177D" w:rsidRPr="001C2023">
        <w:rPr>
          <w:rFonts w:ascii="Times New Roman" w:hAnsi="Times New Roman"/>
          <w:sz w:val="24"/>
          <w:szCs w:val="24"/>
        </w:rPr>
        <w:t xml:space="preserve"> dovrà essere dato a progetti di informazione e comunicazione per una maggiore  </w:t>
      </w:r>
      <w:r w:rsidR="00A8405B" w:rsidRPr="001C2023">
        <w:rPr>
          <w:rFonts w:ascii="Times New Roman" w:hAnsi="Times New Roman"/>
          <w:sz w:val="24"/>
          <w:szCs w:val="24"/>
        </w:rPr>
        <w:t xml:space="preserve">sensibilizzazione e </w:t>
      </w:r>
      <w:r w:rsidR="0042177D" w:rsidRPr="001C2023">
        <w:rPr>
          <w:rFonts w:ascii="Times New Roman" w:hAnsi="Times New Roman"/>
          <w:sz w:val="24"/>
          <w:szCs w:val="24"/>
        </w:rPr>
        <w:t xml:space="preserve">responsabilizzazione </w:t>
      </w:r>
      <w:r w:rsidR="00A8405B" w:rsidRPr="001C2023">
        <w:rPr>
          <w:rFonts w:ascii="Times New Roman" w:hAnsi="Times New Roman"/>
          <w:sz w:val="24"/>
          <w:szCs w:val="24"/>
        </w:rPr>
        <w:t xml:space="preserve">dei </w:t>
      </w:r>
      <w:r w:rsidR="0042177D" w:rsidRPr="001C2023">
        <w:rPr>
          <w:rFonts w:ascii="Times New Roman" w:hAnsi="Times New Roman"/>
          <w:sz w:val="24"/>
          <w:szCs w:val="24"/>
        </w:rPr>
        <w:t xml:space="preserve">cittadini e formazione </w:t>
      </w:r>
      <w:r w:rsidR="00A8405B" w:rsidRPr="001C2023">
        <w:rPr>
          <w:rFonts w:ascii="Times New Roman" w:hAnsi="Times New Roman"/>
          <w:sz w:val="24"/>
          <w:szCs w:val="24"/>
        </w:rPr>
        <w:t xml:space="preserve">dei </w:t>
      </w:r>
      <w:r w:rsidR="0042177D" w:rsidRPr="001C2023">
        <w:rPr>
          <w:rFonts w:ascii="Times New Roman" w:hAnsi="Times New Roman"/>
          <w:sz w:val="24"/>
          <w:szCs w:val="24"/>
        </w:rPr>
        <w:t>amministratori su RD con  progetti territoriali. Sempre in materia di qualità</w:t>
      </w:r>
      <w:r w:rsidRPr="001C2023">
        <w:rPr>
          <w:rFonts w:ascii="Times New Roman" w:hAnsi="Times New Roman"/>
          <w:sz w:val="24"/>
          <w:szCs w:val="24"/>
        </w:rPr>
        <w:t xml:space="preserve">  </w:t>
      </w:r>
      <w:r w:rsidR="0042177D" w:rsidRPr="001C2023">
        <w:rPr>
          <w:rFonts w:ascii="Times New Roman" w:hAnsi="Times New Roman"/>
          <w:sz w:val="24"/>
          <w:szCs w:val="24"/>
        </w:rPr>
        <w:t xml:space="preserve">tutti </w:t>
      </w:r>
      <w:r w:rsidRPr="001C2023">
        <w:rPr>
          <w:rFonts w:ascii="Times New Roman" w:hAnsi="Times New Roman"/>
          <w:sz w:val="24"/>
          <w:szCs w:val="24"/>
        </w:rPr>
        <w:t xml:space="preserve">i Consorzi </w:t>
      </w:r>
      <w:r w:rsidR="0042177D" w:rsidRPr="001C2023">
        <w:rPr>
          <w:rFonts w:ascii="Times New Roman" w:hAnsi="Times New Roman"/>
          <w:sz w:val="24"/>
          <w:szCs w:val="24"/>
        </w:rPr>
        <w:t>del C</w:t>
      </w:r>
      <w:r w:rsidR="00A8405B" w:rsidRPr="001C2023">
        <w:rPr>
          <w:rFonts w:ascii="Times New Roman" w:hAnsi="Times New Roman"/>
          <w:sz w:val="24"/>
          <w:szCs w:val="24"/>
        </w:rPr>
        <w:t xml:space="preserve">ONAI  </w:t>
      </w:r>
      <w:r w:rsidRPr="001C2023">
        <w:rPr>
          <w:rFonts w:ascii="Times New Roman" w:hAnsi="Times New Roman"/>
          <w:sz w:val="24"/>
          <w:szCs w:val="24"/>
        </w:rPr>
        <w:t xml:space="preserve">hanno </w:t>
      </w:r>
      <w:r w:rsidR="00A8405B" w:rsidRPr="001C2023">
        <w:rPr>
          <w:rFonts w:ascii="Times New Roman" w:hAnsi="Times New Roman"/>
          <w:sz w:val="24"/>
          <w:szCs w:val="24"/>
        </w:rPr>
        <w:t xml:space="preserve">in questi giorni </w:t>
      </w:r>
      <w:r w:rsidRPr="001C2023">
        <w:rPr>
          <w:rFonts w:ascii="Times New Roman" w:hAnsi="Times New Roman"/>
          <w:sz w:val="24"/>
          <w:szCs w:val="24"/>
        </w:rPr>
        <w:t xml:space="preserve">evidenziato che questo parametro rappresenterà un elemento </w:t>
      </w:r>
      <w:r w:rsidR="0042177D" w:rsidRPr="001C2023">
        <w:rPr>
          <w:rFonts w:ascii="Times New Roman" w:hAnsi="Times New Roman"/>
          <w:sz w:val="24"/>
          <w:szCs w:val="24"/>
        </w:rPr>
        <w:t xml:space="preserve">dirimente nel nuovo accordo </w:t>
      </w:r>
      <w:r w:rsidRPr="001C2023">
        <w:rPr>
          <w:rFonts w:ascii="Times New Roman" w:hAnsi="Times New Roman"/>
          <w:sz w:val="24"/>
          <w:szCs w:val="24"/>
        </w:rPr>
        <w:t xml:space="preserve"> non solo per agevolare le attività di selezione</w:t>
      </w:r>
      <w:r w:rsidR="003F6B88" w:rsidRPr="001C2023">
        <w:rPr>
          <w:rFonts w:ascii="Times New Roman" w:hAnsi="Times New Roman"/>
          <w:sz w:val="24"/>
          <w:szCs w:val="24"/>
        </w:rPr>
        <w:t xml:space="preserve"> e ridurre gli scarti e quindi i costi connessi</w:t>
      </w:r>
      <w:r w:rsidRPr="001C2023">
        <w:rPr>
          <w:rFonts w:ascii="Times New Roman" w:hAnsi="Times New Roman"/>
          <w:sz w:val="24"/>
          <w:szCs w:val="24"/>
        </w:rPr>
        <w:t xml:space="preserve">, ma </w:t>
      </w:r>
      <w:r w:rsidR="003F6B88" w:rsidRPr="001C2023">
        <w:rPr>
          <w:rFonts w:ascii="Times New Roman" w:hAnsi="Times New Roman"/>
          <w:sz w:val="24"/>
          <w:szCs w:val="24"/>
        </w:rPr>
        <w:t xml:space="preserve">anche </w:t>
      </w:r>
      <w:r w:rsidRPr="001C2023">
        <w:rPr>
          <w:rFonts w:ascii="Times New Roman" w:hAnsi="Times New Roman"/>
          <w:sz w:val="24"/>
          <w:szCs w:val="24"/>
        </w:rPr>
        <w:t>per agevolare la riciclabilità</w:t>
      </w:r>
      <w:r w:rsidR="003F6B88" w:rsidRPr="001C2023">
        <w:rPr>
          <w:rFonts w:ascii="Times New Roman" w:hAnsi="Times New Roman"/>
          <w:sz w:val="24"/>
          <w:szCs w:val="24"/>
        </w:rPr>
        <w:t xml:space="preserve"> dei materiali. Quindi non facile sarà la determinazione nazionale del parametro</w:t>
      </w:r>
      <w:r w:rsidR="00A8405B" w:rsidRPr="001C2023">
        <w:rPr>
          <w:rFonts w:ascii="Times New Roman" w:hAnsi="Times New Roman"/>
          <w:sz w:val="24"/>
          <w:szCs w:val="24"/>
        </w:rPr>
        <w:t xml:space="preserve"> di riferimento</w:t>
      </w:r>
      <w:r w:rsidR="003F6B88" w:rsidRPr="001C2023">
        <w:rPr>
          <w:rFonts w:ascii="Times New Roman" w:hAnsi="Times New Roman"/>
          <w:sz w:val="24"/>
          <w:szCs w:val="24"/>
        </w:rPr>
        <w:t xml:space="preserve"> considerato la var</w:t>
      </w:r>
      <w:r w:rsidR="00A8405B" w:rsidRPr="001C2023">
        <w:rPr>
          <w:rFonts w:ascii="Times New Roman" w:hAnsi="Times New Roman"/>
          <w:sz w:val="24"/>
          <w:szCs w:val="24"/>
        </w:rPr>
        <w:t>iegata situazione presente nel P</w:t>
      </w:r>
      <w:r w:rsidR="003F6B88" w:rsidRPr="001C2023">
        <w:rPr>
          <w:rFonts w:ascii="Times New Roman" w:hAnsi="Times New Roman"/>
          <w:sz w:val="24"/>
          <w:szCs w:val="24"/>
        </w:rPr>
        <w:t>ae</w:t>
      </w:r>
      <w:r w:rsidR="00A8405B" w:rsidRPr="001C2023">
        <w:rPr>
          <w:rFonts w:ascii="Times New Roman" w:hAnsi="Times New Roman"/>
          <w:sz w:val="24"/>
          <w:szCs w:val="24"/>
        </w:rPr>
        <w:t>se che richiede da parte delle A</w:t>
      </w:r>
      <w:r w:rsidR="003F6B88" w:rsidRPr="001C2023">
        <w:rPr>
          <w:rFonts w:ascii="Times New Roman" w:hAnsi="Times New Roman"/>
          <w:sz w:val="24"/>
          <w:szCs w:val="24"/>
        </w:rPr>
        <w:t>mministrazioni</w:t>
      </w:r>
      <w:r w:rsidR="00A8405B" w:rsidRPr="001C2023">
        <w:rPr>
          <w:rFonts w:ascii="Times New Roman" w:hAnsi="Times New Roman"/>
          <w:sz w:val="24"/>
          <w:szCs w:val="24"/>
        </w:rPr>
        <w:t xml:space="preserve"> locali</w:t>
      </w:r>
      <w:r w:rsidR="003F6B88" w:rsidRPr="001C2023">
        <w:rPr>
          <w:rFonts w:ascii="Times New Roman" w:hAnsi="Times New Roman"/>
          <w:sz w:val="24"/>
          <w:szCs w:val="24"/>
        </w:rPr>
        <w:t xml:space="preserve"> implementazione dei sistemi di raccolta e comunicazione con costi che attualmente ricadono</w:t>
      </w:r>
      <w:r w:rsidR="00A8405B" w:rsidRPr="001C2023">
        <w:rPr>
          <w:rFonts w:ascii="Times New Roman" w:hAnsi="Times New Roman"/>
          <w:sz w:val="24"/>
          <w:szCs w:val="24"/>
        </w:rPr>
        <w:t>,</w:t>
      </w:r>
      <w:r w:rsidR="003F6B88" w:rsidRPr="001C2023">
        <w:rPr>
          <w:rFonts w:ascii="Times New Roman" w:hAnsi="Times New Roman"/>
          <w:sz w:val="24"/>
          <w:szCs w:val="24"/>
        </w:rPr>
        <w:t xml:space="preserve"> contrariamente al dettato europeo</w:t>
      </w:r>
      <w:r w:rsidR="00A8405B" w:rsidRPr="001C2023">
        <w:rPr>
          <w:rFonts w:ascii="Times New Roman" w:hAnsi="Times New Roman"/>
          <w:sz w:val="24"/>
          <w:szCs w:val="24"/>
        </w:rPr>
        <w:t>,</w:t>
      </w:r>
      <w:r w:rsidR="003F6B88" w:rsidRPr="001C2023">
        <w:rPr>
          <w:rFonts w:ascii="Times New Roman" w:hAnsi="Times New Roman"/>
          <w:sz w:val="24"/>
          <w:szCs w:val="24"/>
        </w:rPr>
        <w:t xml:space="preserve"> </w:t>
      </w:r>
      <w:r w:rsidR="00A8405B" w:rsidRPr="001C2023">
        <w:rPr>
          <w:rFonts w:ascii="Times New Roman" w:hAnsi="Times New Roman"/>
          <w:sz w:val="24"/>
          <w:szCs w:val="24"/>
        </w:rPr>
        <w:t xml:space="preserve">non </w:t>
      </w:r>
      <w:r w:rsidR="003F6B88" w:rsidRPr="001C2023">
        <w:rPr>
          <w:rFonts w:ascii="Times New Roman" w:hAnsi="Times New Roman"/>
          <w:sz w:val="24"/>
          <w:szCs w:val="24"/>
        </w:rPr>
        <w:t>sul consumatore finale</w:t>
      </w:r>
      <w:r w:rsidR="00A8405B" w:rsidRPr="001C2023">
        <w:rPr>
          <w:rFonts w:ascii="Times New Roman" w:hAnsi="Times New Roman"/>
          <w:sz w:val="24"/>
          <w:szCs w:val="24"/>
        </w:rPr>
        <w:t xml:space="preserve"> ma in modo indistinto sui sugli utenti dei servizi,salvo applicazione di una tariffa puntuale</w:t>
      </w:r>
      <w:r w:rsidR="003F6B88" w:rsidRPr="001C2023">
        <w:rPr>
          <w:rFonts w:ascii="Times New Roman" w:hAnsi="Times New Roman"/>
          <w:sz w:val="24"/>
          <w:szCs w:val="24"/>
        </w:rPr>
        <w:t>.</w:t>
      </w:r>
      <w:r w:rsidR="00F65870" w:rsidRPr="001C2023">
        <w:rPr>
          <w:rFonts w:ascii="Times New Roman" w:hAnsi="Times New Roman"/>
          <w:sz w:val="24"/>
          <w:szCs w:val="24"/>
        </w:rPr>
        <w:t xml:space="preserve"> </w:t>
      </w:r>
      <w:r w:rsidR="00A8405B" w:rsidRPr="001C2023">
        <w:rPr>
          <w:rFonts w:ascii="Times New Roman" w:hAnsi="Times New Roman"/>
          <w:sz w:val="24"/>
          <w:szCs w:val="24"/>
        </w:rPr>
        <w:t xml:space="preserve">Sempre in materia di qualità </w:t>
      </w:r>
      <w:r w:rsidR="00F65870" w:rsidRPr="001C2023">
        <w:rPr>
          <w:rFonts w:ascii="Times New Roman" w:hAnsi="Times New Roman"/>
          <w:sz w:val="24"/>
          <w:szCs w:val="24"/>
        </w:rPr>
        <w:t>dovrà essere valutata la validità dell’attuale impostazione che prevede definiti range di qualità correlati a</w:t>
      </w:r>
      <w:r w:rsidR="00B04FF8" w:rsidRPr="001C2023">
        <w:rPr>
          <w:rFonts w:ascii="Times New Roman" w:hAnsi="Times New Roman"/>
          <w:sz w:val="24"/>
          <w:szCs w:val="24"/>
        </w:rPr>
        <w:t xml:space="preserve"> </w:t>
      </w:r>
      <w:r w:rsidR="00F65870" w:rsidRPr="001C2023">
        <w:rPr>
          <w:rFonts w:ascii="Times New Roman" w:hAnsi="Times New Roman"/>
          <w:sz w:val="24"/>
          <w:szCs w:val="24"/>
        </w:rPr>
        <w:t>specifici corrispettivi</w:t>
      </w:r>
    </w:p>
    <w:p w:rsidR="00601483" w:rsidRPr="001C2023" w:rsidRDefault="00601483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42177D" w:rsidRPr="001C2023" w:rsidRDefault="00F65870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>Correlat</w:t>
      </w:r>
      <w:r w:rsidR="00F7663A" w:rsidRPr="001C2023">
        <w:rPr>
          <w:rFonts w:ascii="Times New Roman" w:hAnsi="Times New Roman"/>
          <w:sz w:val="24"/>
          <w:szCs w:val="24"/>
        </w:rPr>
        <w:t>a</w:t>
      </w:r>
      <w:r w:rsidRPr="001C2023">
        <w:rPr>
          <w:rFonts w:ascii="Times New Roman" w:hAnsi="Times New Roman"/>
          <w:sz w:val="24"/>
          <w:szCs w:val="24"/>
        </w:rPr>
        <w:t xml:space="preserve"> è la regolamentazione dei </w:t>
      </w:r>
      <w:r w:rsidRPr="001C2023">
        <w:rPr>
          <w:rFonts w:ascii="Times New Roman" w:hAnsi="Times New Roman"/>
          <w:b/>
          <w:sz w:val="24"/>
          <w:szCs w:val="24"/>
        </w:rPr>
        <w:t>campionamenti</w:t>
      </w:r>
      <w:r w:rsidR="00F7663A" w:rsidRPr="001C2023">
        <w:rPr>
          <w:rFonts w:ascii="Times New Roman" w:hAnsi="Times New Roman"/>
          <w:b/>
          <w:sz w:val="24"/>
          <w:szCs w:val="24"/>
        </w:rPr>
        <w:t xml:space="preserve"> </w:t>
      </w:r>
      <w:r w:rsidR="00F7663A" w:rsidRPr="001C2023">
        <w:rPr>
          <w:rFonts w:ascii="Times New Roman" w:hAnsi="Times New Roman"/>
          <w:sz w:val="24"/>
          <w:szCs w:val="24"/>
        </w:rPr>
        <w:t xml:space="preserve">per la loro variabilità ed efficacia per una determinazione rappresentativa del conferito stante l’incidenza delle variabili </w:t>
      </w:r>
      <w:r w:rsidR="00B04FF8" w:rsidRPr="001C2023">
        <w:rPr>
          <w:rFonts w:ascii="Times New Roman" w:hAnsi="Times New Roman"/>
          <w:sz w:val="24"/>
          <w:szCs w:val="24"/>
        </w:rPr>
        <w:t xml:space="preserve">economiche </w:t>
      </w:r>
      <w:r w:rsidR="00F7663A" w:rsidRPr="001C2023">
        <w:rPr>
          <w:rFonts w:ascii="Times New Roman" w:hAnsi="Times New Roman"/>
          <w:sz w:val="24"/>
          <w:szCs w:val="24"/>
        </w:rPr>
        <w:t>nelle percentuali di confine</w:t>
      </w:r>
      <w:r w:rsidR="00B04FF8" w:rsidRPr="001C2023">
        <w:rPr>
          <w:rFonts w:ascii="Times New Roman" w:hAnsi="Times New Roman"/>
          <w:sz w:val="24"/>
          <w:szCs w:val="24"/>
        </w:rPr>
        <w:t xml:space="preserve"> qualora non stabili</w:t>
      </w:r>
      <w:r w:rsidR="00F7663A" w:rsidRPr="001C2023">
        <w:rPr>
          <w:rFonts w:ascii="Times New Roman" w:hAnsi="Times New Roman"/>
          <w:sz w:val="24"/>
          <w:szCs w:val="24"/>
        </w:rPr>
        <w:t>.</w:t>
      </w:r>
    </w:p>
    <w:p w:rsidR="00601483" w:rsidRPr="001C2023" w:rsidRDefault="00601483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47594F" w:rsidRPr="001C2023" w:rsidRDefault="005A6F8B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 xml:space="preserve">Con l’attuazione della direttiva europea sulla </w:t>
      </w:r>
      <w:proofErr w:type="spellStart"/>
      <w:r w:rsidRPr="001C2023">
        <w:rPr>
          <w:rFonts w:ascii="Times New Roman" w:hAnsi="Times New Roman"/>
          <w:i/>
          <w:sz w:val="24"/>
          <w:szCs w:val="24"/>
        </w:rPr>
        <w:t>circular</w:t>
      </w:r>
      <w:proofErr w:type="spellEnd"/>
      <w:r w:rsidRPr="001C2023">
        <w:rPr>
          <w:rFonts w:ascii="Times New Roman" w:hAnsi="Times New Roman"/>
          <w:i/>
          <w:sz w:val="24"/>
          <w:szCs w:val="24"/>
        </w:rPr>
        <w:t xml:space="preserve"> economy</w:t>
      </w:r>
      <w:r w:rsidRPr="001C2023">
        <w:rPr>
          <w:rFonts w:ascii="Times New Roman" w:hAnsi="Times New Roman"/>
          <w:sz w:val="24"/>
          <w:szCs w:val="24"/>
        </w:rPr>
        <w:t xml:space="preserve"> si potrà meglio armonizzare il necessario</w:t>
      </w:r>
      <w:r w:rsidR="006E52E8" w:rsidRPr="001C2023">
        <w:rPr>
          <w:rFonts w:ascii="Times New Roman" w:hAnsi="Times New Roman"/>
          <w:sz w:val="24"/>
          <w:szCs w:val="24"/>
        </w:rPr>
        <w:t xml:space="preserve"> nuovo approccio </w:t>
      </w:r>
      <w:r w:rsidR="005E3069" w:rsidRPr="001C2023">
        <w:rPr>
          <w:rFonts w:ascii="Times New Roman" w:hAnsi="Times New Roman"/>
          <w:sz w:val="24"/>
          <w:szCs w:val="24"/>
        </w:rPr>
        <w:t>per</w:t>
      </w:r>
      <w:r w:rsidR="006E52E8" w:rsidRPr="001C2023">
        <w:rPr>
          <w:rFonts w:ascii="Times New Roman" w:hAnsi="Times New Roman"/>
          <w:sz w:val="24"/>
          <w:szCs w:val="24"/>
        </w:rPr>
        <w:t xml:space="preserve"> ten</w:t>
      </w:r>
      <w:r w:rsidR="005E3069" w:rsidRPr="001C2023">
        <w:rPr>
          <w:rFonts w:ascii="Times New Roman" w:hAnsi="Times New Roman"/>
          <w:sz w:val="24"/>
          <w:szCs w:val="24"/>
        </w:rPr>
        <w:t>er</w:t>
      </w:r>
      <w:r w:rsidR="006E52E8" w:rsidRPr="001C2023">
        <w:rPr>
          <w:rFonts w:ascii="Times New Roman" w:hAnsi="Times New Roman"/>
          <w:sz w:val="24"/>
          <w:szCs w:val="24"/>
        </w:rPr>
        <w:t xml:space="preserve"> conto non solo delle necessità di intervento nella fase di raccolta</w:t>
      </w:r>
      <w:r w:rsidRPr="001C2023">
        <w:rPr>
          <w:rFonts w:ascii="Times New Roman" w:hAnsi="Times New Roman"/>
          <w:sz w:val="24"/>
          <w:szCs w:val="24"/>
        </w:rPr>
        <w:t xml:space="preserve"> differenziata,</w:t>
      </w:r>
      <w:r w:rsidR="006E52E8" w:rsidRPr="001C2023">
        <w:rPr>
          <w:rFonts w:ascii="Times New Roman" w:hAnsi="Times New Roman"/>
          <w:sz w:val="24"/>
          <w:szCs w:val="24"/>
        </w:rPr>
        <w:t xml:space="preserve"> oggetto principale dell’AQ </w:t>
      </w:r>
      <w:r w:rsidR="005437A6" w:rsidRPr="001C2023">
        <w:rPr>
          <w:rFonts w:ascii="Times New Roman" w:hAnsi="Times New Roman"/>
          <w:sz w:val="24"/>
          <w:szCs w:val="24"/>
        </w:rPr>
        <w:t>ANCI-CONAI</w:t>
      </w:r>
      <w:r w:rsidR="006E52E8" w:rsidRPr="001C2023">
        <w:rPr>
          <w:rFonts w:ascii="Times New Roman" w:hAnsi="Times New Roman"/>
          <w:sz w:val="24"/>
          <w:szCs w:val="24"/>
        </w:rPr>
        <w:t xml:space="preserve">, ma anche delle </w:t>
      </w:r>
      <w:r w:rsidR="005E3069" w:rsidRPr="001C2023">
        <w:rPr>
          <w:rFonts w:ascii="Times New Roman" w:hAnsi="Times New Roman"/>
          <w:sz w:val="24"/>
          <w:szCs w:val="24"/>
        </w:rPr>
        <w:t xml:space="preserve">essenziali </w:t>
      </w:r>
      <w:r w:rsidR="006E52E8" w:rsidRPr="001C2023">
        <w:rPr>
          <w:rFonts w:ascii="Times New Roman" w:hAnsi="Times New Roman"/>
          <w:sz w:val="24"/>
          <w:szCs w:val="24"/>
        </w:rPr>
        <w:t xml:space="preserve">fasi successive relative al </w:t>
      </w:r>
      <w:r w:rsidR="006E52E8" w:rsidRPr="001C2023">
        <w:rPr>
          <w:rFonts w:ascii="Times New Roman" w:hAnsi="Times New Roman"/>
          <w:b/>
          <w:sz w:val="24"/>
          <w:szCs w:val="24"/>
        </w:rPr>
        <w:t>ricicl</w:t>
      </w:r>
      <w:r w:rsidRPr="001C2023">
        <w:rPr>
          <w:rFonts w:ascii="Times New Roman" w:hAnsi="Times New Roman"/>
          <w:b/>
          <w:sz w:val="24"/>
          <w:szCs w:val="24"/>
        </w:rPr>
        <w:t>o</w:t>
      </w:r>
      <w:r w:rsidR="00683822" w:rsidRPr="001C2023">
        <w:rPr>
          <w:rFonts w:ascii="Times New Roman" w:hAnsi="Times New Roman"/>
          <w:b/>
          <w:sz w:val="24"/>
          <w:szCs w:val="24"/>
        </w:rPr>
        <w:t>/recupero</w:t>
      </w:r>
      <w:r w:rsidR="006E52E8" w:rsidRPr="001C2023">
        <w:rPr>
          <w:rFonts w:ascii="Times New Roman" w:hAnsi="Times New Roman"/>
          <w:sz w:val="24"/>
          <w:szCs w:val="24"/>
        </w:rPr>
        <w:t xml:space="preserve"> dei rifiuti raccolti </w:t>
      </w:r>
      <w:r w:rsidR="005E3069" w:rsidRPr="001C2023">
        <w:rPr>
          <w:rFonts w:ascii="Times New Roman" w:hAnsi="Times New Roman"/>
          <w:sz w:val="24"/>
          <w:szCs w:val="24"/>
        </w:rPr>
        <w:t xml:space="preserve">separatamente </w:t>
      </w:r>
      <w:r w:rsidR="006E52E8" w:rsidRPr="001C2023">
        <w:rPr>
          <w:rFonts w:ascii="Times New Roman" w:hAnsi="Times New Roman"/>
          <w:sz w:val="24"/>
          <w:szCs w:val="24"/>
        </w:rPr>
        <w:t xml:space="preserve">e quindi </w:t>
      </w:r>
      <w:r w:rsidR="005E3069" w:rsidRPr="001C2023">
        <w:rPr>
          <w:rFonts w:ascii="Times New Roman" w:hAnsi="Times New Roman"/>
          <w:sz w:val="24"/>
          <w:szCs w:val="24"/>
        </w:rPr>
        <w:t>a</w:t>
      </w:r>
      <w:r w:rsidR="006E52E8" w:rsidRPr="001C2023">
        <w:rPr>
          <w:rFonts w:ascii="Times New Roman" w:hAnsi="Times New Roman"/>
          <w:sz w:val="24"/>
          <w:szCs w:val="24"/>
        </w:rPr>
        <w:t xml:space="preserve">lle condizioni impiantistiche (tecnico logistiche) di trattamento necessarie, </w:t>
      </w:r>
      <w:r w:rsidR="005E3069" w:rsidRPr="001C2023">
        <w:rPr>
          <w:rFonts w:ascii="Times New Roman" w:hAnsi="Times New Roman"/>
          <w:sz w:val="24"/>
          <w:szCs w:val="24"/>
        </w:rPr>
        <w:t>a</w:t>
      </w:r>
      <w:r w:rsidR="006E52E8" w:rsidRPr="001C2023">
        <w:rPr>
          <w:rFonts w:ascii="Times New Roman" w:hAnsi="Times New Roman"/>
          <w:sz w:val="24"/>
          <w:szCs w:val="24"/>
        </w:rPr>
        <w:t>lla gestione</w:t>
      </w:r>
      <w:r w:rsidR="005E3069" w:rsidRPr="001C2023">
        <w:rPr>
          <w:rFonts w:ascii="Times New Roman" w:hAnsi="Times New Roman"/>
          <w:sz w:val="24"/>
          <w:szCs w:val="24"/>
        </w:rPr>
        <w:t xml:space="preserve"> </w:t>
      </w:r>
      <w:r w:rsidR="006E52E8" w:rsidRPr="001C2023">
        <w:rPr>
          <w:rFonts w:ascii="Times New Roman" w:hAnsi="Times New Roman"/>
          <w:sz w:val="24"/>
          <w:szCs w:val="24"/>
        </w:rPr>
        <w:t xml:space="preserve">(recupero/smaltimento) dei residui </w:t>
      </w:r>
      <w:r w:rsidRPr="001C2023">
        <w:rPr>
          <w:rFonts w:ascii="Times New Roman" w:hAnsi="Times New Roman"/>
          <w:sz w:val="24"/>
          <w:szCs w:val="24"/>
        </w:rPr>
        <w:t xml:space="preserve">derivanti </w:t>
      </w:r>
      <w:r w:rsidR="006E52E8" w:rsidRPr="001C2023">
        <w:rPr>
          <w:rFonts w:ascii="Times New Roman" w:hAnsi="Times New Roman"/>
          <w:sz w:val="24"/>
          <w:szCs w:val="24"/>
        </w:rPr>
        <w:t>da tali processi</w:t>
      </w:r>
      <w:r w:rsidRPr="001C2023">
        <w:rPr>
          <w:rFonts w:ascii="Times New Roman" w:hAnsi="Times New Roman"/>
          <w:sz w:val="24"/>
          <w:szCs w:val="24"/>
        </w:rPr>
        <w:t>. Va sottolineato e considerato</w:t>
      </w:r>
      <w:r w:rsidR="0042177D" w:rsidRPr="001C2023">
        <w:rPr>
          <w:rFonts w:ascii="Times New Roman" w:hAnsi="Times New Roman"/>
          <w:sz w:val="24"/>
          <w:szCs w:val="24"/>
        </w:rPr>
        <w:t>,</w:t>
      </w:r>
      <w:r w:rsidRPr="001C2023">
        <w:rPr>
          <w:rFonts w:ascii="Times New Roman" w:hAnsi="Times New Roman"/>
          <w:sz w:val="24"/>
          <w:szCs w:val="24"/>
        </w:rPr>
        <w:t xml:space="preserve"> per i principi generali ambientali </w:t>
      </w:r>
      <w:r w:rsidR="0047594F" w:rsidRPr="001C2023">
        <w:rPr>
          <w:rFonts w:ascii="Times New Roman" w:hAnsi="Times New Roman"/>
          <w:sz w:val="24"/>
          <w:szCs w:val="24"/>
        </w:rPr>
        <w:t xml:space="preserve">(responsabilità estesa produttore iniziale) </w:t>
      </w:r>
      <w:r w:rsidRPr="001C2023">
        <w:rPr>
          <w:rFonts w:ascii="Times New Roman" w:hAnsi="Times New Roman"/>
          <w:sz w:val="24"/>
          <w:szCs w:val="24"/>
        </w:rPr>
        <w:t>e di mercato</w:t>
      </w:r>
      <w:r w:rsidR="0042177D" w:rsidRPr="001C2023">
        <w:rPr>
          <w:rFonts w:ascii="Times New Roman" w:hAnsi="Times New Roman"/>
          <w:sz w:val="24"/>
          <w:szCs w:val="24"/>
        </w:rPr>
        <w:t>,</w:t>
      </w:r>
      <w:r w:rsidRPr="001C2023">
        <w:rPr>
          <w:rFonts w:ascii="Times New Roman" w:hAnsi="Times New Roman"/>
          <w:sz w:val="24"/>
          <w:szCs w:val="24"/>
        </w:rPr>
        <w:t xml:space="preserve"> che le fasi successive alla RD non possono e quindi non dovranno essere regolamentate nell’AQ</w:t>
      </w:r>
      <w:r w:rsidR="008803C1" w:rsidRPr="001C2023">
        <w:rPr>
          <w:rFonts w:ascii="Times New Roman" w:hAnsi="Times New Roman"/>
          <w:sz w:val="24"/>
          <w:szCs w:val="24"/>
        </w:rPr>
        <w:t xml:space="preserve"> -</w:t>
      </w:r>
      <w:r w:rsidRPr="001C2023">
        <w:rPr>
          <w:rFonts w:ascii="Times New Roman" w:hAnsi="Times New Roman"/>
          <w:sz w:val="24"/>
          <w:szCs w:val="24"/>
        </w:rPr>
        <w:t xml:space="preserve"> salvo per le parte attinent</w:t>
      </w:r>
      <w:r w:rsidR="0047594F" w:rsidRPr="001C2023">
        <w:rPr>
          <w:rFonts w:ascii="Times New Roman" w:hAnsi="Times New Roman"/>
          <w:sz w:val="24"/>
          <w:szCs w:val="24"/>
        </w:rPr>
        <w:t>i</w:t>
      </w:r>
      <w:r w:rsidRPr="001C2023">
        <w:rPr>
          <w:rFonts w:ascii="Times New Roman" w:hAnsi="Times New Roman"/>
          <w:sz w:val="24"/>
          <w:szCs w:val="24"/>
        </w:rPr>
        <w:t xml:space="preserve"> ai conferimenti </w:t>
      </w:r>
      <w:r w:rsidR="0047594F" w:rsidRPr="001C2023">
        <w:rPr>
          <w:rFonts w:ascii="Times New Roman" w:hAnsi="Times New Roman"/>
          <w:sz w:val="24"/>
          <w:szCs w:val="24"/>
        </w:rPr>
        <w:t xml:space="preserve"> delle stesse</w:t>
      </w:r>
      <w:r w:rsidR="008803C1" w:rsidRPr="001C2023">
        <w:rPr>
          <w:rFonts w:ascii="Times New Roman" w:hAnsi="Times New Roman"/>
          <w:sz w:val="24"/>
          <w:szCs w:val="24"/>
        </w:rPr>
        <w:t xml:space="preserve"> -</w:t>
      </w:r>
      <w:r w:rsidRPr="001C2023">
        <w:rPr>
          <w:rFonts w:ascii="Times New Roman" w:hAnsi="Times New Roman"/>
          <w:sz w:val="24"/>
          <w:szCs w:val="24"/>
        </w:rPr>
        <w:t xml:space="preserve"> in quanto queste dovranno rimanere nel </w:t>
      </w:r>
      <w:r w:rsidRPr="001C2023">
        <w:rPr>
          <w:rFonts w:ascii="Times New Roman" w:hAnsi="Times New Roman"/>
          <w:b/>
          <w:sz w:val="24"/>
          <w:szCs w:val="24"/>
        </w:rPr>
        <w:t>libero mercato</w:t>
      </w:r>
      <w:r w:rsidR="0047594F" w:rsidRPr="001C2023">
        <w:rPr>
          <w:rFonts w:ascii="Times New Roman" w:hAnsi="Times New Roman"/>
          <w:sz w:val="24"/>
          <w:szCs w:val="24"/>
        </w:rPr>
        <w:t>.</w:t>
      </w:r>
    </w:p>
    <w:p w:rsidR="00601483" w:rsidRPr="001C2023" w:rsidRDefault="00601483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6E52E8" w:rsidRPr="001C2023" w:rsidRDefault="0047594F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 xml:space="preserve">Infine attenzione dovrà essere </w:t>
      </w:r>
      <w:r w:rsidR="0042177D" w:rsidRPr="001C2023">
        <w:rPr>
          <w:rFonts w:ascii="Times New Roman" w:hAnsi="Times New Roman"/>
          <w:sz w:val="24"/>
          <w:szCs w:val="24"/>
        </w:rPr>
        <w:t>pos</w:t>
      </w:r>
      <w:r w:rsidRPr="001C2023">
        <w:rPr>
          <w:rFonts w:ascii="Times New Roman" w:hAnsi="Times New Roman"/>
          <w:sz w:val="24"/>
          <w:szCs w:val="24"/>
        </w:rPr>
        <w:t xml:space="preserve">ta alla </w:t>
      </w:r>
      <w:r w:rsidR="006E52E8" w:rsidRPr="001C2023">
        <w:rPr>
          <w:rFonts w:ascii="Times New Roman" w:hAnsi="Times New Roman"/>
          <w:sz w:val="24"/>
          <w:szCs w:val="24"/>
        </w:rPr>
        <w:t xml:space="preserve">capacità </w:t>
      </w:r>
      <w:r w:rsidRPr="001C2023">
        <w:rPr>
          <w:rFonts w:ascii="Times New Roman" w:hAnsi="Times New Roman"/>
          <w:sz w:val="24"/>
          <w:szCs w:val="24"/>
        </w:rPr>
        <w:t xml:space="preserve">di assorbimento </w:t>
      </w:r>
      <w:r w:rsidR="006E52E8" w:rsidRPr="001C2023">
        <w:rPr>
          <w:rFonts w:ascii="Times New Roman" w:hAnsi="Times New Roman"/>
          <w:sz w:val="24"/>
          <w:szCs w:val="24"/>
        </w:rPr>
        <w:t xml:space="preserve">del mercato delle MPS e quindi </w:t>
      </w:r>
      <w:r w:rsidRPr="001C2023">
        <w:rPr>
          <w:rFonts w:ascii="Times New Roman" w:hAnsi="Times New Roman"/>
          <w:sz w:val="24"/>
          <w:szCs w:val="24"/>
        </w:rPr>
        <w:t xml:space="preserve">alla necessità di superare gli attuali ostacoli normativi (end of </w:t>
      </w:r>
      <w:proofErr w:type="spellStart"/>
      <w:r w:rsidRPr="001C2023">
        <w:rPr>
          <w:rFonts w:ascii="Times New Roman" w:hAnsi="Times New Roman"/>
          <w:sz w:val="24"/>
          <w:szCs w:val="24"/>
        </w:rPr>
        <w:t>waste</w:t>
      </w:r>
      <w:proofErr w:type="spellEnd"/>
      <w:r w:rsidRPr="001C2023">
        <w:rPr>
          <w:rFonts w:ascii="Times New Roman" w:hAnsi="Times New Roman"/>
          <w:sz w:val="24"/>
          <w:szCs w:val="24"/>
        </w:rPr>
        <w:t xml:space="preserve"> ) </w:t>
      </w:r>
      <w:r w:rsidR="008803C1" w:rsidRPr="001C2023">
        <w:rPr>
          <w:rFonts w:ascii="Times New Roman" w:hAnsi="Times New Roman"/>
          <w:sz w:val="24"/>
          <w:szCs w:val="24"/>
        </w:rPr>
        <w:t xml:space="preserve">e </w:t>
      </w:r>
      <w:r w:rsidRPr="001C2023">
        <w:rPr>
          <w:rFonts w:ascii="Times New Roman" w:hAnsi="Times New Roman"/>
          <w:sz w:val="24"/>
          <w:szCs w:val="24"/>
        </w:rPr>
        <w:t>applicativi</w:t>
      </w:r>
      <w:r w:rsidR="008803C1" w:rsidRPr="001C2023">
        <w:rPr>
          <w:rFonts w:ascii="Times New Roman" w:hAnsi="Times New Roman"/>
          <w:sz w:val="24"/>
          <w:szCs w:val="24"/>
        </w:rPr>
        <w:t xml:space="preserve"> del materiale riciclato</w:t>
      </w:r>
      <w:r w:rsidRPr="001C2023">
        <w:rPr>
          <w:rFonts w:ascii="Times New Roman" w:hAnsi="Times New Roman"/>
          <w:sz w:val="24"/>
          <w:szCs w:val="24"/>
        </w:rPr>
        <w:t xml:space="preserve"> (GPP)</w:t>
      </w:r>
      <w:r w:rsidR="008803C1" w:rsidRPr="001C2023">
        <w:rPr>
          <w:rFonts w:ascii="Times New Roman" w:hAnsi="Times New Roman"/>
          <w:sz w:val="24"/>
          <w:szCs w:val="24"/>
        </w:rPr>
        <w:t>, nonché di</w:t>
      </w:r>
      <w:r w:rsidRPr="001C2023">
        <w:rPr>
          <w:rFonts w:ascii="Times New Roman" w:hAnsi="Times New Roman"/>
          <w:sz w:val="24"/>
          <w:szCs w:val="24"/>
        </w:rPr>
        <w:t xml:space="preserve">  ricerca e sviluppo per </w:t>
      </w:r>
      <w:r w:rsidR="008803C1" w:rsidRPr="001C2023">
        <w:rPr>
          <w:rFonts w:ascii="Times New Roman" w:hAnsi="Times New Roman"/>
          <w:sz w:val="24"/>
          <w:szCs w:val="24"/>
        </w:rPr>
        <w:t>ri</w:t>
      </w:r>
      <w:r w:rsidRPr="001C2023">
        <w:rPr>
          <w:rFonts w:ascii="Times New Roman" w:hAnsi="Times New Roman"/>
          <w:sz w:val="24"/>
          <w:szCs w:val="24"/>
        </w:rPr>
        <w:t>utilizzo materiali riciclati</w:t>
      </w:r>
      <w:r w:rsidR="008803C1" w:rsidRPr="001C2023">
        <w:rPr>
          <w:rFonts w:ascii="Times New Roman" w:hAnsi="Times New Roman"/>
          <w:sz w:val="24"/>
          <w:szCs w:val="24"/>
        </w:rPr>
        <w:t>,</w:t>
      </w:r>
      <w:r w:rsidRPr="001C2023">
        <w:rPr>
          <w:rFonts w:ascii="Times New Roman" w:hAnsi="Times New Roman"/>
          <w:sz w:val="24"/>
          <w:szCs w:val="24"/>
        </w:rPr>
        <w:t xml:space="preserve"> con </w:t>
      </w:r>
      <w:r w:rsidR="006E52E8" w:rsidRPr="001C2023">
        <w:rPr>
          <w:rFonts w:ascii="Times New Roman" w:hAnsi="Times New Roman"/>
          <w:sz w:val="24"/>
          <w:szCs w:val="24"/>
        </w:rPr>
        <w:t xml:space="preserve">interventi </w:t>
      </w:r>
      <w:r w:rsidRPr="001C2023">
        <w:rPr>
          <w:rFonts w:ascii="Times New Roman" w:hAnsi="Times New Roman"/>
          <w:sz w:val="24"/>
          <w:szCs w:val="24"/>
        </w:rPr>
        <w:t xml:space="preserve">di promozione e incentivazione </w:t>
      </w:r>
      <w:r w:rsidR="008803C1" w:rsidRPr="001C2023">
        <w:rPr>
          <w:rFonts w:ascii="Times New Roman" w:hAnsi="Times New Roman"/>
          <w:sz w:val="24"/>
          <w:szCs w:val="24"/>
        </w:rPr>
        <w:t xml:space="preserve">anche </w:t>
      </w:r>
      <w:r w:rsidRPr="001C2023">
        <w:rPr>
          <w:rFonts w:ascii="Times New Roman" w:hAnsi="Times New Roman"/>
          <w:sz w:val="24"/>
          <w:szCs w:val="24"/>
        </w:rPr>
        <w:t xml:space="preserve">dell’implementazione </w:t>
      </w:r>
      <w:r w:rsidR="008803C1" w:rsidRPr="001C2023">
        <w:rPr>
          <w:rFonts w:ascii="Times New Roman" w:hAnsi="Times New Roman"/>
          <w:sz w:val="24"/>
          <w:szCs w:val="24"/>
        </w:rPr>
        <w:t xml:space="preserve">e realizzazione di nuovi </w:t>
      </w:r>
      <w:r w:rsidRPr="001C2023">
        <w:rPr>
          <w:rFonts w:ascii="Times New Roman" w:hAnsi="Times New Roman"/>
          <w:sz w:val="24"/>
          <w:szCs w:val="24"/>
        </w:rPr>
        <w:t xml:space="preserve">impianti sul territorio </w:t>
      </w:r>
      <w:r w:rsidR="006E52E8" w:rsidRPr="001C2023">
        <w:rPr>
          <w:rFonts w:ascii="Times New Roman" w:hAnsi="Times New Roman"/>
          <w:sz w:val="24"/>
          <w:szCs w:val="24"/>
        </w:rPr>
        <w:t xml:space="preserve">per </w:t>
      </w:r>
      <w:r w:rsidRPr="001C2023">
        <w:rPr>
          <w:rFonts w:ascii="Times New Roman" w:hAnsi="Times New Roman"/>
          <w:sz w:val="24"/>
          <w:szCs w:val="24"/>
        </w:rPr>
        <w:t xml:space="preserve">incrementare </w:t>
      </w:r>
      <w:r w:rsidR="008803C1" w:rsidRPr="001C2023">
        <w:rPr>
          <w:rFonts w:ascii="Times New Roman" w:hAnsi="Times New Roman"/>
          <w:sz w:val="24"/>
          <w:szCs w:val="24"/>
        </w:rPr>
        <w:t xml:space="preserve">in termini omogenei </w:t>
      </w:r>
      <w:r w:rsidRPr="001C2023">
        <w:rPr>
          <w:rFonts w:ascii="Times New Roman" w:hAnsi="Times New Roman"/>
          <w:sz w:val="24"/>
          <w:szCs w:val="24"/>
        </w:rPr>
        <w:t>le</w:t>
      </w:r>
      <w:r w:rsidR="006E52E8" w:rsidRPr="001C2023">
        <w:rPr>
          <w:rFonts w:ascii="Times New Roman" w:hAnsi="Times New Roman"/>
          <w:sz w:val="24"/>
          <w:szCs w:val="24"/>
        </w:rPr>
        <w:t xml:space="preserve"> capacità di </w:t>
      </w:r>
      <w:r w:rsidRPr="001C2023">
        <w:rPr>
          <w:rFonts w:ascii="Times New Roman" w:hAnsi="Times New Roman"/>
          <w:sz w:val="24"/>
          <w:szCs w:val="24"/>
        </w:rPr>
        <w:t>assorbimento</w:t>
      </w:r>
      <w:r w:rsidR="008803C1" w:rsidRPr="001C2023">
        <w:rPr>
          <w:rFonts w:ascii="Times New Roman" w:hAnsi="Times New Roman"/>
          <w:sz w:val="24"/>
          <w:szCs w:val="24"/>
        </w:rPr>
        <w:t xml:space="preserve"> e quindi l’autosufficienza nazionale (v. sud del Paese)</w:t>
      </w:r>
      <w:r w:rsidR="006E52E8" w:rsidRPr="001C2023">
        <w:rPr>
          <w:rFonts w:ascii="Times New Roman" w:hAnsi="Times New Roman"/>
          <w:sz w:val="24"/>
          <w:szCs w:val="24"/>
        </w:rPr>
        <w:t>.</w:t>
      </w:r>
    </w:p>
    <w:p w:rsidR="00601483" w:rsidRPr="001C2023" w:rsidRDefault="00601483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6E52E8" w:rsidRPr="001C2023" w:rsidRDefault="00683822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1C2023">
        <w:rPr>
          <w:rFonts w:ascii="Times New Roman" w:hAnsi="Times New Roman"/>
          <w:sz w:val="24"/>
          <w:szCs w:val="24"/>
        </w:rPr>
        <w:t>Attenzione dovrà essere data alche all’annosa criticità connessa all’</w:t>
      </w:r>
      <w:r w:rsidR="006E52E8" w:rsidRPr="001C2023">
        <w:rPr>
          <w:rFonts w:ascii="Times New Roman" w:hAnsi="Times New Roman"/>
          <w:b/>
          <w:sz w:val="24"/>
          <w:szCs w:val="24"/>
        </w:rPr>
        <w:t>assimilazione</w:t>
      </w:r>
      <w:r w:rsidR="006E52E8" w:rsidRPr="001C2023">
        <w:rPr>
          <w:rFonts w:ascii="Times New Roman" w:hAnsi="Times New Roman"/>
          <w:sz w:val="24"/>
          <w:szCs w:val="24"/>
        </w:rPr>
        <w:t xml:space="preserve"> che </w:t>
      </w:r>
      <w:r w:rsidRPr="001C2023">
        <w:rPr>
          <w:rFonts w:ascii="Times New Roman" w:hAnsi="Times New Roman"/>
          <w:sz w:val="24"/>
          <w:szCs w:val="24"/>
        </w:rPr>
        <w:t xml:space="preserve">allarga i confini delle gestioni pubbliche a scapito dei gestori privati  che </w:t>
      </w:r>
      <w:r w:rsidR="008803C1" w:rsidRPr="001C2023">
        <w:rPr>
          <w:rFonts w:ascii="Times New Roman" w:hAnsi="Times New Roman"/>
          <w:sz w:val="24"/>
          <w:szCs w:val="24"/>
        </w:rPr>
        <w:t xml:space="preserve">possono peraltro </w:t>
      </w:r>
      <w:r w:rsidRPr="001C2023">
        <w:rPr>
          <w:rFonts w:ascii="Times New Roman" w:hAnsi="Times New Roman"/>
          <w:sz w:val="24"/>
          <w:szCs w:val="24"/>
        </w:rPr>
        <w:t xml:space="preserve">più facilmente </w:t>
      </w:r>
      <w:r w:rsidRPr="001C2023">
        <w:rPr>
          <w:rFonts w:ascii="Times New Roman" w:hAnsi="Times New Roman"/>
          <w:sz w:val="24"/>
          <w:szCs w:val="24"/>
        </w:rPr>
        <w:lastRenderedPageBreak/>
        <w:t xml:space="preserve">calibrare </w:t>
      </w:r>
      <w:r w:rsidR="009D08FC" w:rsidRPr="001C2023">
        <w:rPr>
          <w:rFonts w:ascii="Times New Roman" w:hAnsi="Times New Roman"/>
          <w:sz w:val="24"/>
          <w:szCs w:val="24"/>
        </w:rPr>
        <w:t>efficienti</w:t>
      </w:r>
      <w:r w:rsidR="008803C1" w:rsidRPr="001C2023">
        <w:rPr>
          <w:rFonts w:ascii="Times New Roman" w:hAnsi="Times New Roman"/>
          <w:sz w:val="24"/>
          <w:szCs w:val="24"/>
        </w:rPr>
        <w:t xml:space="preserve"> e mirati</w:t>
      </w:r>
      <w:r w:rsidR="009D08FC" w:rsidRPr="001C2023">
        <w:rPr>
          <w:rFonts w:ascii="Times New Roman" w:hAnsi="Times New Roman"/>
          <w:sz w:val="24"/>
          <w:szCs w:val="24"/>
        </w:rPr>
        <w:t xml:space="preserve"> </w:t>
      </w:r>
      <w:r w:rsidRPr="001C2023">
        <w:rPr>
          <w:rFonts w:ascii="Times New Roman" w:hAnsi="Times New Roman"/>
          <w:sz w:val="24"/>
          <w:szCs w:val="24"/>
        </w:rPr>
        <w:t xml:space="preserve">servizi </w:t>
      </w:r>
      <w:r w:rsidR="008803C1" w:rsidRPr="001C2023">
        <w:rPr>
          <w:rFonts w:ascii="Times New Roman" w:hAnsi="Times New Roman"/>
          <w:sz w:val="24"/>
          <w:szCs w:val="24"/>
        </w:rPr>
        <w:t>al produttore dei rifiuti speciali</w:t>
      </w:r>
      <w:r w:rsidRPr="001C2023">
        <w:rPr>
          <w:rFonts w:ascii="Times New Roman" w:hAnsi="Times New Roman"/>
          <w:sz w:val="24"/>
          <w:szCs w:val="24"/>
        </w:rPr>
        <w:t xml:space="preserve"> ne</w:t>
      </w:r>
      <w:r w:rsidR="006E52E8" w:rsidRPr="001C2023">
        <w:rPr>
          <w:rFonts w:ascii="Times New Roman" w:hAnsi="Times New Roman"/>
          <w:sz w:val="24"/>
          <w:szCs w:val="24"/>
        </w:rPr>
        <w:t>l</w:t>
      </w:r>
      <w:r w:rsidRPr="001C2023">
        <w:rPr>
          <w:rFonts w:ascii="Times New Roman" w:hAnsi="Times New Roman"/>
          <w:sz w:val="24"/>
          <w:szCs w:val="24"/>
        </w:rPr>
        <w:t xml:space="preserve"> </w:t>
      </w:r>
      <w:r w:rsidR="006E52E8" w:rsidRPr="001C2023">
        <w:rPr>
          <w:rFonts w:ascii="Times New Roman" w:hAnsi="Times New Roman"/>
          <w:sz w:val="24"/>
          <w:szCs w:val="24"/>
        </w:rPr>
        <w:t>lib</w:t>
      </w:r>
      <w:r w:rsidRPr="001C2023">
        <w:rPr>
          <w:rFonts w:ascii="Times New Roman" w:hAnsi="Times New Roman"/>
          <w:sz w:val="24"/>
          <w:szCs w:val="24"/>
        </w:rPr>
        <w:t>e</w:t>
      </w:r>
      <w:r w:rsidR="006E52E8" w:rsidRPr="001C2023">
        <w:rPr>
          <w:rFonts w:ascii="Times New Roman" w:hAnsi="Times New Roman"/>
          <w:sz w:val="24"/>
          <w:szCs w:val="24"/>
        </w:rPr>
        <w:t xml:space="preserve">ro mercato </w:t>
      </w:r>
      <w:r w:rsidR="009D08FC" w:rsidRPr="001C2023">
        <w:rPr>
          <w:rFonts w:ascii="Times New Roman" w:hAnsi="Times New Roman"/>
          <w:sz w:val="24"/>
          <w:szCs w:val="24"/>
        </w:rPr>
        <w:t xml:space="preserve"> anche ai fini della riciclabilità del rifiuto prodotto</w:t>
      </w:r>
      <w:r w:rsidR="00F65870" w:rsidRPr="001C2023">
        <w:rPr>
          <w:rFonts w:ascii="Times New Roman" w:hAnsi="Times New Roman"/>
          <w:sz w:val="24"/>
          <w:szCs w:val="24"/>
        </w:rPr>
        <w:t>. Tale</w:t>
      </w:r>
      <w:r w:rsidR="009D08FC" w:rsidRPr="001C2023">
        <w:rPr>
          <w:rFonts w:ascii="Times New Roman" w:hAnsi="Times New Roman"/>
          <w:sz w:val="24"/>
          <w:szCs w:val="24"/>
        </w:rPr>
        <w:t xml:space="preserve"> </w:t>
      </w:r>
      <w:r w:rsidRPr="001C2023">
        <w:rPr>
          <w:rFonts w:ascii="Times New Roman" w:hAnsi="Times New Roman"/>
          <w:sz w:val="24"/>
          <w:szCs w:val="24"/>
        </w:rPr>
        <w:t>condizione determina</w:t>
      </w:r>
      <w:r w:rsidR="006E52E8" w:rsidRPr="001C2023">
        <w:rPr>
          <w:rFonts w:ascii="Times New Roman" w:hAnsi="Times New Roman"/>
          <w:sz w:val="24"/>
          <w:szCs w:val="24"/>
        </w:rPr>
        <w:t xml:space="preserve"> </w:t>
      </w:r>
      <w:r w:rsidR="009D08FC" w:rsidRPr="001C2023">
        <w:rPr>
          <w:rFonts w:ascii="Times New Roman" w:hAnsi="Times New Roman"/>
          <w:sz w:val="24"/>
          <w:szCs w:val="24"/>
        </w:rPr>
        <w:t>vari aspetti negativi:</w:t>
      </w:r>
      <w:r w:rsidR="006E52E8" w:rsidRPr="001C2023">
        <w:rPr>
          <w:rFonts w:ascii="Times New Roman" w:hAnsi="Times New Roman"/>
          <w:sz w:val="24"/>
          <w:szCs w:val="24"/>
        </w:rPr>
        <w:t xml:space="preserve"> miscelazione RU e RI </w:t>
      </w:r>
      <w:r w:rsidR="003526C6" w:rsidRPr="001C2023">
        <w:rPr>
          <w:rFonts w:ascii="Times New Roman" w:hAnsi="Times New Roman"/>
          <w:sz w:val="24"/>
          <w:szCs w:val="24"/>
        </w:rPr>
        <w:t xml:space="preserve">; </w:t>
      </w:r>
      <w:r w:rsidR="006E52E8" w:rsidRPr="001C2023">
        <w:rPr>
          <w:rFonts w:ascii="Times New Roman" w:hAnsi="Times New Roman"/>
          <w:sz w:val="24"/>
          <w:szCs w:val="24"/>
        </w:rPr>
        <w:t>penalizzazione riciclabilità</w:t>
      </w:r>
      <w:r w:rsidR="003526C6" w:rsidRPr="001C2023">
        <w:rPr>
          <w:rFonts w:ascii="Times New Roman" w:hAnsi="Times New Roman"/>
          <w:sz w:val="24"/>
          <w:szCs w:val="24"/>
        </w:rPr>
        <w:t>;</w:t>
      </w:r>
      <w:r w:rsidR="009D08FC" w:rsidRPr="001C2023">
        <w:rPr>
          <w:rFonts w:ascii="Times New Roman" w:hAnsi="Times New Roman"/>
          <w:sz w:val="24"/>
          <w:szCs w:val="24"/>
        </w:rPr>
        <w:t xml:space="preserve"> potenziale</w:t>
      </w:r>
      <w:r w:rsidR="003526C6" w:rsidRPr="001C2023">
        <w:rPr>
          <w:rFonts w:ascii="Times New Roman" w:hAnsi="Times New Roman"/>
          <w:sz w:val="24"/>
          <w:szCs w:val="24"/>
        </w:rPr>
        <w:t xml:space="preserve"> impegno </w:t>
      </w:r>
      <w:r w:rsidR="00F65870" w:rsidRPr="001C2023">
        <w:rPr>
          <w:rFonts w:ascii="Times New Roman" w:hAnsi="Times New Roman"/>
          <w:sz w:val="24"/>
          <w:szCs w:val="24"/>
        </w:rPr>
        <w:t>risorse</w:t>
      </w:r>
      <w:r w:rsidR="009D08FC" w:rsidRPr="001C2023">
        <w:rPr>
          <w:rFonts w:ascii="Times New Roman" w:hAnsi="Times New Roman"/>
          <w:sz w:val="24"/>
          <w:szCs w:val="24"/>
        </w:rPr>
        <w:t xml:space="preserve"> C</w:t>
      </w:r>
      <w:r w:rsidR="003526C6" w:rsidRPr="001C2023">
        <w:rPr>
          <w:rFonts w:ascii="Times New Roman" w:hAnsi="Times New Roman"/>
          <w:sz w:val="24"/>
          <w:szCs w:val="24"/>
        </w:rPr>
        <w:t>ONAI</w:t>
      </w:r>
      <w:r w:rsidR="00F65870" w:rsidRPr="001C2023">
        <w:rPr>
          <w:rFonts w:ascii="Times New Roman" w:hAnsi="Times New Roman"/>
          <w:sz w:val="24"/>
          <w:szCs w:val="24"/>
        </w:rPr>
        <w:t xml:space="preserve">, con possibile </w:t>
      </w:r>
      <w:r w:rsidR="003526C6" w:rsidRPr="001C2023">
        <w:rPr>
          <w:rFonts w:ascii="Times New Roman" w:hAnsi="Times New Roman"/>
          <w:sz w:val="24"/>
          <w:szCs w:val="24"/>
        </w:rPr>
        <w:t>riduzione del</w:t>
      </w:r>
      <w:r w:rsidR="00F65870" w:rsidRPr="001C2023">
        <w:rPr>
          <w:rFonts w:ascii="Times New Roman" w:hAnsi="Times New Roman"/>
          <w:sz w:val="24"/>
          <w:szCs w:val="24"/>
        </w:rPr>
        <w:t>le disponibilità per le RD RU su rifiuti speciali</w:t>
      </w:r>
      <w:r w:rsidR="003526C6" w:rsidRPr="001C2023">
        <w:rPr>
          <w:rFonts w:ascii="Times New Roman" w:hAnsi="Times New Roman"/>
          <w:sz w:val="24"/>
          <w:szCs w:val="24"/>
        </w:rPr>
        <w:t xml:space="preserve"> e distorsione di mercato in quanto responsabilità del produttore degli stessi di operare nel libero mercato</w:t>
      </w:r>
      <w:r w:rsidR="001C2023" w:rsidRPr="001C2023">
        <w:rPr>
          <w:rFonts w:ascii="Times New Roman" w:hAnsi="Times New Roman"/>
          <w:sz w:val="24"/>
          <w:szCs w:val="24"/>
        </w:rPr>
        <w:t>.</w:t>
      </w:r>
    </w:p>
    <w:p w:rsidR="001C2023" w:rsidRPr="001C2023" w:rsidRDefault="001C2023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1C2023" w:rsidRPr="001C2023" w:rsidRDefault="001C2023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</w:p>
    <w:p w:rsidR="001C2023" w:rsidRDefault="001C2023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C2023" w:rsidRPr="001C2023" w:rsidRDefault="001C2023" w:rsidP="001C2023">
      <w:pPr>
        <w:spacing w:after="10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ALLEGATO</w:t>
      </w:r>
    </w:p>
    <w:p w:rsidR="001C2023" w:rsidRDefault="00147405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Direttiva 851/2018/UE</w:t>
      </w:r>
    </w:p>
    <w:p w:rsidR="00147405" w:rsidRPr="001C2023" w:rsidRDefault="00147405" w:rsidP="001C2023">
      <w:pPr>
        <w:spacing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[…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]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«Articolo 8 bis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Requisiti generali minimi in materia di responsabilità estesa del produttore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1. Laddove i regimi di responsabilità estesa del produttore siano istituiti in conformità dell’articolo 8, paragrafo 1,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e anche per effetto di altri atti legislativi dell’Unione, gli Stati membri:</w:t>
      </w:r>
    </w:p>
    <w:p w:rsidR="001C2023" w:rsidRPr="001C2023" w:rsidRDefault="001C2023" w:rsidP="001C202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after="100"/>
        <w:ind w:left="284" w:hanging="295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definiscono in maniera chiara i ruoli e le responsabilità di tutti i pertinenti attori coinvolti, compresi i produttori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che immettono prodotti sul mercato dello Stato membro, le organizzazioni che attuano, per conto dei produttori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di prodotti, gli obblighi derivanti dalla responsabilità estesa di questi ultimi, i gestori pubblici o privati di rifiuti, le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autorità locali e, ove applicabile, gli operatori per il riutilizzo e la preparazione per il riutilizzo e le imprese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dell’economia sociale;</w:t>
      </w:r>
    </w:p>
    <w:p w:rsidR="001C2023" w:rsidRPr="001C2023" w:rsidRDefault="001C2023" w:rsidP="001C202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after="100"/>
        <w:ind w:left="284" w:hanging="295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definiscono, in linea con la gerarchia dei rifiuti, obiettivi di gestione dei rifiuti, volti a conseguire almeno gli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obiettivi quantitativi rilevanti per il regime di responsabilità estesa del produttore di cui alla presente direttiva 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alle direttive 94/62/CE, 2000/53/CE, 2006/66/CE e 2012/19/UE del Parlamento europeo e del Consiglio (*), 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definiscono altri obiettivi quantitativi e/o qualitativi considerati rilevanti per il regime di responsabilità estesa del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produttore;</w:t>
      </w:r>
    </w:p>
    <w:p w:rsidR="001C2023" w:rsidRPr="001C2023" w:rsidRDefault="001C2023" w:rsidP="001C202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after="100"/>
        <w:ind w:left="284" w:hanging="295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garantiscono la presenza di un sistema di comunicazione delle informazioni per raccogliere i dati sui prodotti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immessi sul mercato dello Stato membro dai produttori di prodotti assoggettati al regime di responsabilità estesa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del produttore e i dati sulla raccolta e sul trattamento di rifiuti risultanti da tali prodotti, specificando, se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opportuno, i flussi dei materiali di rifiuto e di altri dati pertinenti ai fini della lettera b);</w:t>
      </w:r>
    </w:p>
    <w:p w:rsidR="001C2023" w:rsidRPr="001C2023" w:rsidRDefault="001C2023" w:rsidP="001C202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napToGrid w:val="0"/>
        <w:spacing w:after="100"/>
        <w:ind w:left="284" w:hanging="295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assicurano un trattamento equo dei produttori di prodotti indipendentemente dalla loro origine o dimensione,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senza imporre un onere regolamentare sproporzionato sui produttori, comprese le piccole e medie imprese, di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piccole quantità di prodotti.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2. Gli Stati membri adottano le misure necessarie per garantire che i detentori di rifiuti interessati dai regimi di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responsabilità estesa del produttore istituiti in conformità dell’articolo 8, paragrafo 1, siano informati circa le misure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di prevenzione dei rifiuti, i centri per il riutilizzo e la preparazione per il riutilizzo, i sistemi di ritiro e di raccolta dei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rifiuti e la prevenzione della dispersione dei rifiuti. Gli Stati membri adottano inoltre misure per incentivare 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detentori di rifiuti ad assumersi la responsabilità di conferire i rifiuti ai sistemi esistenti di raccolta differenziata,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in particolare, se del caso, mediante norme o incentivi economici.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3. Gli Stati membri adottano le misure necessarie per garantire che il produttore di prodotti o le organizzazioni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che attuano, per conto dei produttori di prodotti, gli obblighi derivanti dalla responsabilità estesa di quest’ultimo:</w:t>
      </w:r>
    </w:p>
    <w:p w:rsidR="001C2023" w:rsidRPr="001C2023" w:rsidRDefault="001C2023" w:rsidP="001C202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napToGrid w:val="0"/>
        <w:spacing w:after="100"/>
        <w:ind w:left="284" w:hanging="29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abbiano una copertura geografica di prodotti e di materiali chiaramente definita senza limitare tali zone alle aree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in cui la raccolta e la gestione dei rifiuti sono più proficue;</w:t>
      </w:r>
    </w:p>
    <w:p w:rsidR="001C2023" w:rsidRPr="001C2023" w:rsidRDefault="001C2023" w:rsidP="001C202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napToGrid w:val="0"/>
        <w:spacing w:after="100"/>
        <w:ind w:left="284" w:hanging="294"/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forniscano un’adeguata disponibilità di sistemi di raccolta dei rifiuti nelle zone di cui alla lettera a);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</w:p>
    <w:p w:rsidR="001C2023" w:rsidRPr="001C2023" w:rsidRDefault="001C2023" w:rsidP="001C202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napToGrid w:val="0"/>
        <w:spacing w:after="100"/>
        <w:ind w:left="284" w:hanging="29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dispongano dei mezzi finanziari o dei mezzi finanziari e organizzativi per soddisfare gli obblighi derivanti dalla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responsabilità estesa del produttore;</w:t>
      </w:r>
    </w:p>
    <w:p w:rsidR="001C2023" w:rsidRPr="001C2023" w:rsidRDefault="001C2023" w:rsidP="001C202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napToGrid w:val="0"/>
        <w:spacing w:after="100"/>
        <w:ind w:left="284" w:hanging="29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 xml:space="preserve">istituiscano un meccanismo adeguato di </w:t>
      </w:r>
      <w:proofErr w:type="spellStart"/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autosorveglianza</w:t>
      </w:r>
      <w:proofErr w:type="spellEnd"/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 xml:space="preserve"> supportato, ove pertinente, da regolari verifiche indipendenti,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per valutare: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426" w:hanging="142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i) la loro gestione finanziaria, compreso il rispetto degli obblighi di cui al paragrafo 4, lettere a) e b);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426" w:hanging="142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lastRenderedPageBreak/>
        <w:t>ii) la qualità dei dati raccolti e comunicati in conformità del paragrafo 1, lettera c), del presente articolo e delle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disposizioni del regolamento (CE) n. 1013/2006;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284" w:hanging="28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e) rendano pubbliche le informazioni sul conseguimento degli obiettivi di gestione dei rifiuti di cui al paragrafo 1,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lettera b), e, nel caso di adempimento collettivo degli obblighi in materia di responsabilità estesa del produttore,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informazioni altresì su: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426" w:hanging="28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i) proprietà e membri;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426" w:hanging="28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ii) contributi finanziari versati da produttori di prodotti per unità venduta o per tonnellata di prodotto immessa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sul mercato; e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426" w:hanging="28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iii) procedura di selezione dei gestori di rifiuti.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4. Gli Stati membri adottano le misure necessarie ad assicurare che i contributi finanziari versati dai produttori di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prodotti in adempimento ai propri obblighi derivanti dalla responsabilità estesa del produttore:</w:t>
      </w:r>
    </w:p>
    <w:p w:rsidR="001C2023" w:rsidRPr="00451DF3" w:rsidRDefault="001C2023" w:rsidP="00451DF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napToGrid w:val="0"/>
        <w:spacing w:after="100"/>
        <w:ind w:left="284" w:hanging="29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451DF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coprano i seguenti costi per i prodotti che il produttore immette sul mercato nello Stato membro interessato: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567" w:hanging="283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— costi della raccolta differenziata di rifiuti e del loro successivo trasporto, compreso il trattamento necessario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per raggiungere gli obiettivi dell’Unione in materia di gestione dei rifiuti, e i costi necessari a raggiungere altri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traguardi e obiettivi di cui al paragrafo 1, lettera b), tenendo conto degli introiti ricavati dal riutilizzo, dalla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vendita delle materie prime secondarie ottenute dai propri prodotti e da cauzioni di deposito non reclamate;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567" w:hanging="283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— costi di una congrua informazione ai detentori di rifiuti a norma del paragrafo 2;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ind w:left="567" w:hanging="283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— costi della raccolta e della comunicazione dei dati a norma del paragrafo 1, lettera c).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Il presente punto non si applica ai regimi di responsabilità estesa del produttore di cui alle direttive 2000/53/CE,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2006/66/CE o 2012/19/UE;</w:t>
      </w:r>
    </w:p>
    <w:p w:rsidR="001C2023" w:rsidRPr="001C2023" w:rsidRDefault="001C2023" w:rsidP="00451DF3">
      <w:pPr>
        <w:autoSpaceDE w:val="0"/>
        <w:autoSpaceDN w:val="0"/>
        <w:adjustRightInd w:val="0"/>
        <w:snapToGrid w:val="0"/>
        <w:spacing w:after="100"/>
        <w:ind w:left="426" w:hanging="284"/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 xml:space="preserve">b) nel caso di adempimento collettivo degli obblighi in materia di responsabilità estesa del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>p</w:t>
      </w:r>
      <w:proofErr w:type="spellStart"/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roduttore</w:t>
      </w:r>
      <w:proofErr w:type="spellEnd"/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, siano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modulati, ove possibile, per singoli prodotti o gruppi di prodotti simili, in particolare tenendo conto della loro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durevolezza, riparabilità, riutilizzabilità e riciclabilità e della presenza di sostanze pericolose, adottando in tal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modo un approccio basato sul ciclo di vita e in linea con gli obblighi fissati dalla pertinente normativa dell’Unione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e, se del caso, sulla base di criteri armonizzati al fine di garantire il buon funzionamento del mercato interno; 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</w:p>
    <w:p w:rsidR="001C2023" w:rsidRPr="001C2023" w:rsidRDefault="001C2023" w:rsidP="00451DF3">
      <w:pPr>
        <w:autoSpaceDE w:val="0"/>
        <w:autoSpaceDN w:val="0"/>
        <w:adjustRightInd w:val="0"/>
        <w:snapToGrid w:val="0"/>
        <w:spacing w:after="100"/>
        <w:ind w:left="426" w:hanging="284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c) non superano i costi che sono necessari per fornire servizi di gestione dei rifiuti in modo efficiente in termini di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costi. Tali costi sono stabiliti in modo trasparente tra i soggetti interessati.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 xml:space="preserve">Ove giustificato dalla necessità di garantire una corretta gestione dei rifiuti e la redditività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e</w:t>
      </w:r>
      <w:proofErr w:type="spellStart"/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conomica</w:t>
      </w:r>
      <w:proofErr w:type="spellEnd"/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 xml:space="preserve"> del regime di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responsabilità estesa del produttore, gli Stati membri possono discostarsi dalla ripartizione della responsabilità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finanziaria di cui alla lettera a), a condizione che:</w:t>
      </w:r>
    </w:p>
    <w:p w:rsidR="001C2023" w:rsidRPr="001C2023" w:rsidRDefault="001C2023" w:rsidP="00451DF3">
      <w:pPr>
        <w:autoSpaceDE w:val="0"/>
        <w:autoSpaceDN w:val="0"/>
        <w:adjustRightInd w:val="0"/>
        <w:snapToGrid w:val="0"/>
        <w:spacing w:after="100"/>
        <w:ind w:left="426" w:hanging="283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i) nel caso di regimi di responsabilità estesa del produttore istituiti per raggiungere gli obiettivi in materia di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gestione dei rifiuti e gli obiettivi stabiliti a norma degli atti legislativi dell’Unione, i produttori di prodotti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sostengano almeno l’80 % dei costi necessari;</w:t>
      </w:r>
    </w:p>
    <w:p w:rsidR="001C2023" w:rsidRPr="001C2023" w:rsidRDefault="001C2023" w:rsidP="00451DF3">
      <w:pPr>
        <w:autoSpaceDE w:val="0"/>
        <w:autoSpaceDN w:val="0"/>
        <w:adjustRightInd w:val="0"/>
        <w:snapToGrid w:val="0"/>
        <w:spacing w:after="100"/>
        <w:ind w:left="426" w:hanging="283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ii) nel caso di regimi di responsabilità estesa del produttore istituiti entro o dopo il 4 luglio 2018 per raggiungere 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traguardi in materia di gestione dei rifiuti e gli obiettivi stabiliti esclusivamente nella legislazione dello Stato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membro, i produttori di prodotti sostengano almeno l’80 % dei costi necessari;</w:t>
      </w:r>
    </w:p>
    <w:p w:rsidR="001C2023" w:rsidRPr="001C2023" w:rsidRDefault="001C2023" w:rsidP="00451DF3">
      <w:pPr>
        <w:autoSpaceDE w:val="0"/>
        <w:autoSpaceDN w:val="0"/>
        <w:adjustRightInd w:val="0"/>
        <w:snapToGrid w:val="0"/>
        <w:spacing w:after="100"/>
        <w:ind w:left="426" w:hanging="283"/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iii) nel caso di regimi di responsabilità estesa del produttore istituiti prima del 4 luglio 2018 per raggiungere 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 xml:space="preserve">traguardi in materia di gestione dei rifiuti e gli obiettivi stabiliti esclusivamente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lastRenderedPageBreak/>
        <w:t>nella legislazione dello Stato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membro, i produttori di prodotti sostengano almeno l’50 % dei costi necessari;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e a condizione che i rimanenti costi siano sostenuti da produttori originali di rifiuti o distributori.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La deroga non può essere utilizzata per ridurre la quota dei costi sostenuti dai produttori di prodotti nell’ambito dei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regimi di responsabilità estesa del produttore istituiti prima del 4 luglio 2018.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5. Gli Stati membri istituiscono un adeguato quadro di controllo e garanzia dell’attuazione, al fine di assicurare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che i produttori dei prodotti e le organizzazioni che attuano, per conto dei produttori di prodotti, gli obblighi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derivanti dalla responsabilità estesa di questi ultimi, eseguano i loro obblighi in materia di responsabilità estesa del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produttore, anche in caso di vendite a distanza, che gli strumenti finanziari siano utilizzati correttamente e che tutti 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soggetti coinvolti nell’attuazione dei regimi di responsabilità estesa del produttore comunichino dati affidabili.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Se sul territorio di uno Stato membro vi sono varie organizzazioni che attuano, per conto dei produttori dei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prodotti, gli obblighi derivanti dalla responsabilità estesa di questi ultimi, lo Stato membro nomina almeno un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organismo indipendente da interessi privati o incarica un’autorità pubblica di sorvegliare l’attuazione degli obblighi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derivanti da tale regime.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Ogni Stato membro consente ai produttori di prodotti istituiti in un altro Stato membro e che immettono prodotti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sul suo territorio di designare una persona giuridica o fisica stabilita nel proprio territorio quale rappresentante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autorizzato per l’adempimento degli obblighi di un produttore relativi a regimi di responsabilità estesa del produttore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sul proprio territorio.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Ai fini del controllo e della verifica della conformità con gli obblighi del produttore di prodotti in relazione ai regimi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di responsabilità estesa del produttore, gli Stati membri possono stabilire i requisiti, quali i requisiti di registrazione,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informazione e comunicazione, che devono essere soddisfatti da una persona fisica o giuridica da designare quale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rappresentante autorizzato sul proprio territorio.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6. Gli Stati membri assicurano un dialogo regolare tra i pertinenti soggetti coinvolti nell’attuazione dei regimi di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responsabilità estesa del produttore, ivi compresi i produttori e i distributori, i gestori pubblici o privati di rifiuti, le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autorità locali, le organizzazioni della società civile e, se del caso, gli attori della società civile, le reti di riutilizzo 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riparazione e gli operatori della preparazione per il riutilizzo.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7. Gli Stati membri adottano misure affinché i regimi di responsabilità estesa del produttore istituiti prima del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4 luglio 2018 siano conformi al presente articolo entro il 5 gennaio 2023.»;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8. La comunicazione di informazioni al pubblico a norma del presente articolo non pregiudica il mantenimento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della riservatezza delle informazioni commercialmente sensibili in conformità del pertinente diritto dell’Unione e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nazionale.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en-US"/>
        </w:rPr>
        <w:t>___________</w:t>
      </w:r>
    </w:p>
    <w:p w:rsidR="001C2023" w:rsidRPr="001C2023" w:rsidRDefault="001C2023" w:rsidP="001C2023">
      <w:pPr>
        <w:autoSpaceDE w:val="0"/>
        <w:autoSpaceDN w:val="0"/>
        <w:adjustRightInd w:val="0"/>
        <w:snapToGrid w:val="0"/>
        <w:spacing w:after="100"/>
        <w:rPr>
          <w:rFonts w:ascii="Times New Roman" w:eastAsia="Times New Roman" w:hAnsi="Times New Roman"/>
          <w:i/>
          <w:color w:val="000000"/>
          <w:lang w:val="x-none" w:eastAsia="en-US"/>
        </w:rPr>
      </w:pPr>
      <w:r w:rsidRPr="001C2023">
        <w:rPr>
          <w:rFonts w:ascii="Times New Roman" w:eastAsia="Times New Roman" w:hAnsi="Times New Roman"/>
          <w:i/>
          <w:color w:val="000000"/>
          <w:lang w:val="x-none" w:eastAsia="en-US"/>
        </w:rPr>
        <w:t>(*) Direttiva 2012/19/UE del Parlamento europeo e del Consiglio, del 4 luglio 2012, sui rifiuti di apparecchiature</w:t>
      </w:r>
      <w:r w:rsidRPr="001C2023">
        <w:rPr>
          <w:rFonts w:ascii="Times New Roman" w:eastAsia="Times New Roman" w:hAnsi="Times New Roman"/>
          <w:i/>
          <w:color w:val="000000"/>
          <w:lang w:eastAsia="en-US"/>
        </w:rPr>
        <w:t xml:space="preserve"> </w:t>
      </w:r>
      <w:r w:rsidRPr="001C2023">
        <w:rPr>
          <w:rFonts w:ascii="Times New Roman" w:eastAsia="Times New Roman" w:hAnsi="Times New Roman"/>
          <w:i/>
          <w:color w:val="000000"/>
          <w:lang w:val="x-none" w:eastAsia="en-US"/>
        </w:rPr>
        <w:t>elettriche ed elettroniche (RAEE) (GU L 197 del 24.7.2012, pag. 38).»;</w:t>
      </w:r>
    </w:p>
    <w:p w:rsidR="001C2023" w:rsidRPr="001C2023" w:rsidRDefault="001C2023" w:rsidP="001C2023">
      <w:pPr>
        <w:spacing w:after="100"/>
        <w:jc w:val="both"/>
        <w:rPr>
          <w:rFonts w:ascii="Times New Roman" w:hAnsi="Times New Roman"/>
        </w:rPr>
      </w:pPr>
    </w:p>
    <w:p w:rsidR="006E52E8" w:rsidRPr="006E52E8" w:rsidRDefault="006E52E8" w:rsidP="00EF6B49">
      <w:pPr>
        <w:jc w:val="both"/>
        <w:rPr>
          <w:rFonts w:ascii="Times New Roman" w:hAnsi="Times New Roman"/>
          <w:sz w:val="28"/>
          <w:szCs w:val="28"/>
        </w:rPr>
      </w:pPr>
    </w:p>
    <w:sectPr w:rsidR="006E52E8" w:rsidRPr="006E52E8" w:rsidSect="002259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A765B"/>
    <w:multiLevelType w:val="hybridMultilevel"/>
    <w:tmpl w:val="8C8C47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457B5"/>
    <w:multiLevelType w:val="hybridMultilevel"/>
    <w:tmpl w:val="6978BB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E5A01"/>
    <w:multiLevelType w:val="hybridMultilevel"/>
    <w:tmpl w:val="1E389D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F282B"/>
    <w:multiLevelType w:val="hybridMultilevel"/>
    <w:tmpl w:val="0C7C438E"/>
    <w:lvl w:ilvl="0" w:tplc="F39092B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B50A3"/>
    <w:multiLevelType w:val="hybridMultilevel"/>
    <w:tmpl w:val="917CBB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D48A8"/>
    <w:multiLevelType w:val="hybridMultilevel"/>
    <w:tmpl w:val="2AE86490"/>
    <w:lvl w:ilvl="0" w:tplc="193683D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E050F40"/>
    <w:multiLevelType w:val="hybridMultilevel"/>
    <w:tmpl w:val="69822996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7D54592E"/>
    <w:multiLevelType w:val="hybridMultilevel"/>
    <w:tmpl w:val="5A7A90B2"/>
    <w:lvl w:ilvl="0" w:tplc="87BCBBA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2E8"/>
    <w:rsid w:val="000477C4"/>
    <w:rsid w:val="00147405"/>
    <w:rsid w:val="001C2023"/>
    <w:rsid w:val="00225917"/>
    <w:rsid w:val="002C0BAB"/>
    <w:rsid w:val="0030047D"/>
    <w:rsid w:val="00317A97"/>
    <w:rsid w:val="003234BC"/>
    <w:rsid w:val="003339E2"/>
    <w:rsid w:val="003526C6"/>
    <w:rsid w:val="003549C0"/>
    <w:rsid w:val="003C39BC"/>
    <w:rsid w:val="003D7688"/>
    <w:rsid w:val="003F6B88"/>
    <w:rsid w:val="004147C9"/>
    <w:rsid w:val="0042177D"/>
    <w:rsid w:val="00451DF3"/>
    <w:rsid w:val="0046391D"/>
    <w:rsid w:val="00474DFE"/>
    <w:rsid w:val="0047594F"/>
    <w:rsid w:val="005437A6"/>
    <w:rsid w:val="005A6F8B"/>
    <w:rsid w:val="005E017C"/>
    <w:rsid w:val="005E3069"/>
    <w:rsid w:val="00601483"/>
    <w:rsid w:val="00683822"/>
    <w:rsid w:val="006E52E8"/>
    <w:rsid w:val="007F291E"/>
    <w:rsid w:val="008803C1"/>
    <w:rsid w:val="00977D3F"/>
    <w:rsid w:val="009D08FC"/>
    <w:rsid w:val="00A8405B"/>
    <w:rsid w:val="00B04FF8"/>
    <w:rsid w:val="00B96377"/>
    <w:rsid w:val="00C3780E"/>
    <w:rsid w:val="00C546F0"/>
    <w:rsid w:val="00CF34E4"/>
    <w:rsid w:val="00DD0FB8"/>
    <w:rsid w:val="00E8035A"/>
    <w:rsid w:val="00EF6B49"/>
    <w:rsid w:val="00F65870"/>
    <w:rsid w:val="00F7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99BA6"/>
  <w15:docId w15:val="{F9855AD8-C6D6-404D-9223-C6FF884F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E52E8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477D3-1FDE-43BE-8872-BD54B0BF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Cesco</dc:creator>
  <cp:lastModifiedBy>Elisabetta</cp:lastModifiedBy>
  <cp:revision>6</cp:revision>
  <dcterms:created xsi:type="dcterms:W3CDTF">2018-11-30T13:32:00Z</dcterms:created>
  <dcterms:modified xsi:type="dcterms:W3CDTF">2019-03-01T07:20:00Z</dcterms:modified>
</cp:coreProperties>
</file>